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30"/>
        <w:gridCol w:w="2070"/>
      </w:tblGrid>
      <w:tr w:rsidR="00F32322" w:rsidRPr="00F32322" w:rsidTr="004F66CE">
        <w:trPr>
          <w:cantSplit/>
          <w:jc w:val="center"/>
        </w:trPr>
        <w:tc>
          <w:tcPr>
            <w:tcW w:w="1399" w:type="dxa"/>
            <w:vMerge w:val="restart"/>
          </w:tcPr>
          <w:p w:rsidR="00F32322" w:rsidRPr="00F32322" w:rsidRDefault="00F32322" w:rsidP="004F66CE">
            <w:pPr>
              <w:widowControl w:val="0"/>
              <w:tabs>
                <w:tab w:val="clear" w:pos="1134"/>
                <w:tab w:val="clear" w:pos="1871"/>
                <w:tab w:val="clear" w:pos="2268"/>
              </w:tabs>
              <w:overflowPunct/>
              <w:autoSpaceDE/>
              <w:autoSpaceDN/>
              <w:adjustRightInd/>
              <w:spacing w:before="0"/>
              <w:jc w:val="both"/>
              <w:textAlignment w:val="auto"/>
              <w:rPr>
                <w:rFonts w:eastAsia="BatangChe"/>
                <w:kern w:val="2"/>
                <w:szCs w:val="24"/>
                <w:lang w:val="en-US" w:eastAsia="ko-KR"/>
              </w:rPr>
            </w:pPr>
            <w:r w:rsidRPr="00F32322">
              <w:rPr>
                <w:rFonts w:eastAsia="BatangChe"/>
                <w:noProof/>
                <w:kern w:val="2"/>
                <w:szCs w:val="24"/>
                <w:lang w:val="en-US"/>
              </w:rPr>
              <w:drawing>
                <wp:inline distT="0" distB="0" distL="0" distR="0">
                  <wp:extent cx="762000" cy="717550"/>
                  <wp:effectExtent l="0" t="0" r="0" b="6350"/>
                  <wp:docPr id="3" name="図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6170" w:type="dxa"/>
            <w:gridSpan w:val="2"/>
          </w:tcPr>
          <w:p w:rsidR="00F32322" w:rsidRPr="00F32322" w:rsidRDefault="00F32322" w:rsidP="00F32322">
            <w:pPr>
              <w:keepNext/>
              <w:widowControl w:val="0"/>
              <w:tabs>
                <w:tab w:val="clear" w:pos="1134"/>
                <w:tab w:val="clear" w:pos="1871"/>
                <w:tab w:val="clear" w:pos="2268"/>
              </w:tabs>
              <w:wordWrap w:val="0"/>
              <w:overflowPunct/>
              <w:autoSpaceDE/>
              <w:autoSpaceDN/>
              <w:adjustRightInd/>
              <w:spacing w:before="0" w:line="276" w:lineRule="auto"/>
              <w:jc w:val="both"/>
              <w:textAlignment w:val="auto"/>
              <w:outlineLvl w:val="7"/>
              <w:rPr>
                <w:rFonts w:eastAsia="BatangChe"/>
                <w:bCs/>
                <w:kern w:val="2"/>
                <w:szCs w:val="24"/>
                <w:lang w:val="en-US" w:eastAsia="ko-KR"/>
              </w:rPr>
            </w:pPr>
            <w:r w:rsidRPr="00F32322">
              <w:rPr>
                <w:rFonts w:eastAsia="BatangChe"/>
                <w:bCs/>
                <w:kern w:val="2"/>
                <w:szCs w:val="24"/>
                <w:lang w:val="en-US" w:eastAsia="ko-KR"/>
              </w:rPr>
              <w:t>ASIA-PACIFIC TELECOMMUNITY</w:t>
            </w:r>
          </w:p>
        </w:tc>
        <w:tc>
          <w:tcPr>
            <w:tcW w:w="2070" w:type="dxa"/>
          </w:tcPr>
          <w:p w:rsidR="00F32322" w:rsidRPr="00F32322" w:rsidRDefault="00F32322" w:rsidP="00F32322">
            <w:pPr>
              <w:tabs>
                <w:tab w:val="clear" w:pos="1134"/>
                <w:tab w:val="clear" w:pos="1871"/>
                <w:tab w:val="clear" w:pos="2268"/>
              </w:tabs>
              <w:overflowPunct/>
              <w:autoSpaceDE/>
              <w:autoSpaceDN/>
              <w:adjustRightInd/>
              <w:spacing w:before="0"/>
              <w:textAlignment w:val="auto"/>
              <w:rPr>
                <w:rFonts w:eastAsia="BatangChe"/>
                <w:b/>
                <w:szCs w:val="24"/>
                <w:lang w:val="en-US"/>
              </w:rPr>
            </w:pPr>
          </w:p>
        </w:tc>
      </w:tr>
      <w:tr w:rsidR="00F32322" w:rsidRPr="00F32322" w:rsidTr="004F66CE">
        <w:trPr>
          <w:cantSplit/>
          <w:jc w:val="center"/>
        </w:trPr>
        <w:tc>
          <w:tcPr>
            <w:tcW w:w="1399" w:type="dxa"/>
            <w:vMerge/>
          </w:tcPr>
          <w:p w:rsidR="00F32322" w:rsidRPr="00F32322" w:rsidRDefault="00F32322" w:rsidP="00F32322">
            <w:pPr>
              <w:tabs>
                <w:tab w:val="clear" w:pos="1134"/>
                <w:tab w:val="clear" w:pos="1871"/>
                <w:tab w:val="clear" w:pos="2268"/>
              </w:tabs>
              <w:overflowPunct/>
              <w:autoSpaceDE/>
              <w:autoSpaceDN/>
              <w:adjustRightInd/>
              <w:spacing w:before="0"/>
              <w:textAlignment w:val="auto"/>
              <w:rPr>
                <w:rFonts w:eastAsia="BatangChe"/>
                <w:szCs w:val="24"/>
                <w:lang w:val="en-US"/>
              </w:rPr>
            </w:pPr>
          </w:p>
        </w:tc>
        <w:tc>
          <w:tcPr>
            <w:tcW w:w="6140" w:type="dxa"/>
          </w:tcPr>
          <w:p w:rsidR="00F32322" w:rsidRPr="00F32322" w:rsidRDefault="00F32322" w:rsidP="00F32322">
            <w:pPr>
              <w:tabs>
                <w:tab w:val="clear" w:pos="1134"/>
                <w:tab w:val="clear" w:pos="1871"/>
                <w:tab w:val="clear" w:pos="2268"/>
              </w:tabs>
              <w:overflowPunct/>
              <w:autoSpaceDE/>
              <w:autoSpaceDN/>
              <w:adjustRightInd/>
              <w:spacing w:before="0" w:line="0" w:lineRule="atLeast"/>
              <w:textAlignment w:val="auto"/>
              <w:rPr>
                <w:rFonts w:eastAsia="BatangChe"/>
                <w:szCs w:val="24"/>
                <w:lang w:val="en-US"/>
              </w:rPr>
            </w:pPr>
            <w:r w:rsidRPr="00F32322">
              <w:rPr>
                <w:rFonts w:eastAsia="BatangChe"/>
                <w:b/>
                <w:szCs w:val="24"/>
                <w:lang w:val="en-US"/>
              </w:rPr>
              <w:t xml:space="preserve">The </w:t>
            </w:r>
            <w:r w:rsidR="00AC2A75">
              <w:rPr>
                <w:rFonts w:eastAsia="BatangChe"/>
                <w:b/>
                <w:szCs w:val="24"/>
                <w:lang w:val="en-US"/>
              </w:rPr>
              <w:t>22nd</w:t>
            </w:r>
            <w:r w:rsidRPr="00F32322">
              <w:rPr>
                <w:rFonts w:eastAsia="BatangChe"/>
                <w:b/>
                <w:szCs w:val="24"/>
                <w:lang w:val="en-US"/>
              </w:rPr>
              <w:t xml:space="preserve"> Meeting of the APT Wireless Group (AWG-</w:t>
            </w:r>
            <w:r w:rsidR="00AC2A75" w:rsidRPr="00F32322">
              <w:rPr>
                <w:rFonts w:eastAsia="BatangChe"/>
                <w:b/>
                <w:szCs w:val="24"/>
                <w:lang w:val="en-US"/>
              </w:rPr>
              <w:t>2</w:t>
            </w:r>
            <w:r w:rsidR="00AC2A75">
              <w:rPr>
                <w:rFonts w:eastAsia="BatangChe"/>
                <w:b/>
                <w:szCs w:val="24"/>
                <w:lang w:val="en-US"/>
              </w:rPr>
              <w:t>2</w:t>
            </w:r>
            <w:r w:rsidRPr="00F32322">
              <w:rPr>
                <w:rFonts w:eastAsia="BatangChe"/>
                <w:b/>
                <w:szCs w:val="24"/>
                <w:lang w:val="en-US"/>
              </w:rPr>
              <w:t>)</w:t>
            </w:r>
          </w:p>
        </w:tc>
        <w:tc>
          <w:tcPr>
            <w:tcW w:w="2100" w:type="dxa"/>
            <w:gridSpan w:val="2"/>
          </w:tcPr>
          <w:p w:rsidR="00F32322" w:rsidRPr="00F32322" w:rsidRDefault="00F32322" w:rsidP="001214AA">
            <w:pPr>
              <w:tabs>
                <w:tab w:val="clear" w:pos="1134"/>
                <w:tab w:val="clear" w:pos="1871"/>
                <w:tab w:val="clear" w:pos="2268"/>
              </w:tabs>
              <w:overflowPunct/>
              <w:autoSpaceDE/>
              <w:autoSpaceDN/>
              <w:adjustRightInd/>
              <w:spacing w:before="0"/>
              <w:textAlignment w:val="auto"/>
              <w:rPr>
                <w:rFonts w:eastAsia="BatangChe"/>
                <w:b/>
                <w:bCs/>
                <w:szCs w:val="24"/>
                <w:lang w:val="en-US"/>
              </w:rPr>
            </w:pPr>
          </w:p>
        </w:tc>
      </w:tr>
      <w:tr w:rsidR="00F32322" w:rsidRPr="00F32322" w:rsidTr="004F66CE">
        <w:trPr>
          <w:cantSplit/>
          <w:trHeight w:val="219"/>
          <w:jc w:val="center"/>
        </w:trPr>
        <w:tc>
          <w:tcPr>
            <w:tcW w:w="1399" w:type="dxa"/>
            <w:vMerge/>
          </w:tcPr>
          <w:p w:rsidR="00F32322" w:rsidRPr="00F32322" w:rsidRDefault="00F32322" w:rsidP="00F32322">
            <w:pPr>
              <w:tabs>
                <w:tab w:val="clear" w:pos="1134"/>
                <w:tab w:val="clear" w:pos="1871"/>
                <w:tab w:val="clear" w:pos="2268"/>
              </w:tabs>
              <w:overflowPunct/>
              <w:autoSpaceDE/>
              <w:autoSpaceDN/>
              <w:adjustRightInd/>
              <w:spacing w:before="0"/>
              <w:textAlignment w:val="auto"/>
              <w:rPr>
                <w:rFonts w:eastAsia="BatangChe"/>
                <w:szCs w:val="24"/>
                <w:lang w:val="en-US"/>
              </w:rPr>
            </w:pPr>
          </w:p>
        </w:tc>
        <w:tc>
          <w:tcPr>
            <w:tcW w:w="6140" w:type="dxa"/>
          </w:tcPr>
          <w:p w:rsidR="00F32322" w:rsidRPr="00F32322" w:rsidRDefault="00F32322" w:rsidP="00F32322">
            <w:pPr>
              <w:tabs>
                <w:tab w:val="clear" w:pos="1134"/>
                <w:tab w:val="clear" w:pos="1871"/>
                <w:tab w:val="clear" w:pos="2268"/>
              </w:tabs>
              <w:overflowPunct/>
              <w:autoSpaceDE/>
              <w:autoSpaceDN/>
              <w:adjustRightInd/>
              <w:spacing w:before="0"/>
              <w:textAlignment w:val="auto"/>
              <w:rPr>
                <w:rFonts w:eastAsia="BatangChe"/>
                <w:szCs w:val="24"/>
                <w:lang w:val="en-US"/>
              </w:rPr>
            </w:pPr>
          </w:p>
          <w:p w:rsidR="00F32322" w:rsidRPr="00F32322" w:rsidRDefault="00915E0D" w:rsidP="00711136">
            <w:pPr>
              <w:tabs>
                <w:tab w:val="clear" w:pos="1134"/>
                <w:tab w:val="clear" w:pos="1871"/>
                <w:tab w:val="clear" w:pos="2268"/>
              </w:tabs>
              <w:overflowPunct/>
              <w:autoSpaceDE/>
              <w:autoSpaceDN/>
              <w:adjustRightInd/>
              <w:spacing w:before="0"/>
              <w:textAlignment w:val="auto"/>
              <w:rPr>
                <w:rFonts w:eastAsia="BatangChe"/>
                <w:szCs w:val="24"/>
                <w:lang w:val="en-US"/>
              </w:rPr>
            </w:pPr>
            <w:r>
              <w:rPr>
                <w:rFonts w:eastAsia="BatangChe"/>
                <w:szCs w:val="24"/>
                <w:lang w:val="en-US"/>
              </w:rPr>
              <w:t>25</w:t>
            </w:r>
            <w:r w:rsidRPr="00F32322">
              <w:rPr>
                <w:rFonts w:eastAsia="BatangChe"/>
                <w:szCs w:val="24"/>
                <w:lang w:val="en-US"/>
              </w:rPr>
              <w:t xml:space="preserve"> </w:t>
            </w:r>
            <w:r w:rsidR="00F32322" w:rsidRPr="00F32322">
              <w:rPr>
                <w:rFonts w:eastAsia="BatangChe"/>
                <w:szCs w:val="24"/>
                <w:lang w:val="en-US"/>
              </w:rPr>
              <w:t xml:space="preserve">– </w:t>
            </w:r>
            <w:r>
              <w:rPr>
                <w:rFonts w:eastAsia="BatangChe"/>
                <w:szCs w:val="24"/>
                <w:lang w:val="en-US"/>
              </w:rPr>
              <w:t>29 September</w:t>
            </w:r>
            <w:r w:rsidR="00F32322" w:rsidRPr="00F32322">
              <w:rPr>
                <w:rFonts w:eastAsia="BatangChe"/>
                <w:szCs w:val="24"/>
                <w:lang w:val="en-US"/>
              </w:rPr>
              <w:t xml:space="preserve"> 2017, </w:t>
            </w:r>
            <w:r w:rsidR="00AC2A75">
              <w:rPr>
                <w:rFonts w:eastAsia="BatangChe"/>
                <w:szCs w:val="24"/>
                <w:lang w:val="en-US"/>
              </w:rPr>
              <w:t>Busan</w:t>
            </w:r>
            <w:r w:rsidR="00711136">
              <w:rPr>
                <w:rFonts w:eastAsia="BatangChe"/>
                <w:szCs w:val="24"/>
                <w:lang w:val="en-US"/>
              </w:rPr>
              <w:t xml:space="preserve">, </w:t>
            </w:r>
            <w:r w:rsidR="00711136">
              <w:t>Republic of Korea</w:t>
            </w:r>
          </w:p>
        </w:tc>
        <w:tc>
          <w:tcPr>
            <w:tcW w:w="2100" w:type="dxa"/>
            <w:gridSpan w:val="2"/>
          </w:tcPr>
          <w:p w:rsidR="00F32322" w:rsidRPr="00F32322" w:rsidRDefault="00F32322" w:rsidP="00F32322">
            <w:pPr>
              <w:keepNext/>
              <w:tabs>
                <w:tab w:val="clear" w:pos="1134"/>
                <w:tab w:val="clear" w:pos="1871"/>
                <w:tab w:val="clear" w:pos="2268"/>
              </w:tabs>
              <w:overflowPunct/>
              <w:autoSpaceDE/>
              <w:autoSpaceDN/>
              <w:adjustRightInd/>
              <w:spacing w:before="0"/>
              <w:textAlignment w:val="auto"/>
              <w:outlineLvl w:val="0"/>
              <w:rPr>
                <w:rFonts w:eastAsia="BatangChe"/>
                <w:szCs w:val="24"/>
                <w:lang w:val="en-US"/>
              </w:rPr>
            </w:pPr>
          </w:p>
          <w:p w:rsidR="00F32322" w:rsidRPr="00F32322" w:rsidRDefault="00915E0D" w:rsidP="001214AA">
            <w:pPr>
              <w:keepNext/>
              <w:tabs>
                <w:tab w:val="clear" w:pos="1134"/>
                <w:tab w:val="clear" w:pos="1871"/>
                <w:tab w:val="clear" w:pos="2268"/>
              </w:tabs>
              <w:overflowPunct/>
              <w:autoSpaceDE/>
              <w:autoSpaceDN/>
              <w:adjustRightInd/>
              <w:spacing w:before="0"/>
              <w:textAlignment w:val="auto"/>
              <w:outlineLvl w:val="0"/>
              <w:rPr>
                <w:rFonts w:eastAsia="BatangChe"/>
                <w:bCs/>
                <w:szCs w:val="24"/>
                <w:u w:val="single"/>
                <w:lang w:val="en-US"/>
              </w:rPr>
            </w:pPr>
            <w:r>
              <w:rPr>
                <w:rFonts w:eastAsia="BatangChe"/>
                <w:szCs w:val="24"/>
                <w:lang w:val="en-US"/>
              </w:rPr>
              <w:t>2</w:t>
            </w:r>
            <w:r w:rsidR="003939D7">
              <w:rPr>
                <w:rFonts w:eastAsia="BatangChe"/>
                <w:szCs w:val="24"/>
                <w:lang w:val="en-US"/>
              </w:rPr>
              <w:t>9</w:t>
            </w:r>
            <w:r>
              <w:rPr>
                <w:rFonts w:eastAsia="BatangChe"/>
                <w:szCs w:val="24"/>
                <w:lang w:val="en-US"/>
              </w:rPr>
              <w:t xml:space="preserve"> September </w:t>
            </w:r>
            <w:r w:rsidR="00F32322" w:rsidRPr="00F32322">
              <w:rPr>
                <w:rFonts w:eastAsia="BatangChe"/>
                <w:szCs w:val="24"/>
                <w:lang w:val="en-US"/>
              </w:rPr>
              <w:t>2017</w:t>
            </w:r>
          </w:p>
        </w:tc>
      </w:tr>
    </w:tbl>
    <w:p w:rsidR="006D162B" w:rsidRPr="00A91B0F" w:rsidRDefault="006D162B" w:rsidP="006D162B">
      <w:pPr>
        <w:rPr>
          <w:lang w:eastAsia="ko-KR"/>
        </w:rPr>
      </w:pPr>
      <w:r>
        <w:rPr>
          <w:lang w:eastAsia="ko-KR"/>
        </w:rPr>
        <w:t>Source: AWG-22/OUT-22</w:t>
      </w:r>
    </w:p>
    <w:p w:rsidR="00F32322" w:rsidRPr="00F32322" w:rsidRDefault="00F32322" w:rsidP="006D162B">
      <w:pPr>
        <w:rPr>
          <w:lang w:val="en-US" w:eastAsia="ja-JP"/>
        </w:rPr>
      </w:pPr>
    </w:p>
    <w:p w:rsidR="00E27CEA" w:rsidRPr="00E27CEA" w:rsidRDefault="00E27CEA">
      <w:pPr>
        <w:jc w:val="center"/>
        <w:rPr>
          <w:sz w:val="28"/>
          <w:szCs w:val="28"/>
          <w:lang w:val="en-US" w:eastAsia="ja-JP"/>
        </w:rPr>
      </w:pPr>
    </w:p>
    <w:p w:rsidR="00061583" w:rsidRPr="00D429AB" w:rsidRDefault="001214AA" w:rsidP="00CB224C">
      <w:pPr>
        <w:jc w:val="center"/>
        <w:rPr>
          <w:b/>
          <w:bCs/>
          <w:caps/>
          <w:color w:val="000000"/>
          <w:szCs w:val="24"/>
          <w:shd w:val="clear" w:color="auto" w:fill="FFFFFF"/>
          <w:lang w:val="en-US" w:eastAsia="ja-JP"/>
        </w:rPr>
      </w:pPr>
      <w:r w:rsidRPr="00D429AB">
        <w:rPr>
          <w:b/>
          <w:bCs/>
          <w:caps/>
          <w:color w:val="000000"/>
          <w:szCs w:val="24"/>
          <w:shd w:val="clear" w:color="auto" w:fill="FFFFFF"/>
          <w:lang w:val="en-US" w:eastAsia="ja-JP"/>
        </w:rPr>
        <w:t xml:space="preserve">DRAFT </w:t>
      </w:r>
      <w:r w:rsidR="00D429AB" w:rsidRPr="00D429AB">
        <w:rPr>
          <w:b/>
          <w:bCs/>
          <w:caps/>
          <w:color w:val="000000"/>
          <w:szCs w:val="24"/>
          <w:shd w:val="clear" w:color="auto" w:fill="FFFFFF"/>
          <w:lang w:val="en-US" w:eastAsia="ja-JP"/>
        </w:rPr>
        <w:t xml:space="preserve">APT </w:t>
      </w:r>
      <w:r w:rsidRPr="00D429AB">
        <w:rPr>
          <w:b/>
          <w:bCs/>
          <w:caps/>
          <w:color w:val="000000"/>
          <w:szCs w:val="24"/>
          <w:shd w:val="clear" w:color="auto" w:fill="FFFFFF"/>
          <w:lang w:val="en-US" w:eastAsia="ja-JP"/>
        </w:rPr>
        <w:t xml:space="preserve">RECOMMENDATION </w:t>
      </w:r>
      <w:r w:rsidR="00534E9F" w:rsidRPr="00D429AB">
        <w:rPr>
          <w:b/>
          <w:bCs/>
          <w:caps/>
          <w:color w:val="000000"/>
          <w:szCs w:val="24"/>
          <w:shd w:val="clear" w:color="auto" w:fill="FFFFFF"/>
          <w:lang w:val="en-US" w:eastAsia="ja-JP"/>
        </w:rPr>
        <w:t>on Frequency Ranges for Non-Beam WPT</w:t>
      </w:r>
      <w:r w:rsidR="00915E0D" w:rsidRPr="00D429AB">
        <w:rPr>
          <w:rStyle w:val="FootnoteReference"/>
          <w:b/>
          <w:bCs/>
          <w:caps/>
          <w:color w:val="000000"/>
          <w:sz w:val="24"/>
          <w:szCs w:val="24"/>
          <w:shd w:val="clear" w:color="auto" w:fill="FFFFFF"/>
          <w:lang w:val="en-US" w:eastAsia="ja-JP"/>
        </w:rPr>
        <w:footnoteReference w:id="1"/>
      </w:r>
      <w:r w:rsidR="00534E9F" w:rsidRPr="00D429AB">
        <w:rPr>
          <w:b/>
          <w:bCs/>
          <w:caps/>
          <w:color w:val="000000"/>
          <w:szCs w:val="24"/>
          <w:shd w:val="clear" w:color="auto" w:fill="FFFFFF"/>
          <w:lang w:val="en-US" w:eastAsia="ja-JP"/>
        </w:rPr>
        <w:t xml:space="preserve"> for Mobile Devices</w:t>
      </w:r>
      <w:r w:rsidR="007D4201" w:rsidRPr="00D429AB">
        <w:rPr>
          <w:b/>
          <w:bCs/>
          <w:caps/>
          <w:color w:val="000000"/>
          <w:szCs w:val="24"/>
          <w:shd w:val="clear" w:color="auto" w:fill="FFFFFF"/>
          <w:lang w:val="en-US" w:eastAsia="ja-JP"/>
        </w:rPr>
        <w:br/>
      </w:r>
    </w:p>
    <w:p w:rsidR="000E3A42" w:rsidRPr="004E7D68" w:rsidRDefault="000E3A42" w:rsidP="000E3A42">
      <w:pPr>
        <w:keepNext/>
        <w:keepLines/>
        <w:spacing w:before="160"/>
        <w:rPr>
          <w:rFonts w:eastAsia="Times New Roman"/>
          <w:b/>
          <w:sz w:val="22"/>
          <w:szCs w:val="22"/>
          <w:lang w:val="en-US" w:eastAsia="ja-JP"/>
        </w:rPr>
      </w:pPr>
      <w:r w:rsidRPr="004E7D68">
        <w:rPr>
          <w:rFonts w:eastAsia="Times New Roman"/>
          <w:b/>
          <w:sz w:val="22"/>
          <w:szCs w:val="22"/>
          <w:lang w:val="en-US" w:eastAsia="ja-JP"/>
        </w:rPr>
        <w:t>Scope</w:t>
      </w:r>
    </w:p>
    <w:p w:rsidR="000E3A42" w:rsidRDefault="000E3A42" w:rsidP="000E3A42">
      <w:pPr>
        <w:rPr>
          <w:rFonts w:eastAsia="Times New Roman"/>
          <w:sz w:val="22"/>
          <w:szCs w:val="22"/>
          <w:lang w:val="en-US" w:eastAsia="ja-JP"/>
        </w:rPr>
      </w:pPr>
      <w:r w:rsidRPr="004E7D68">
        <w:rPr>
          <w:rFonts w:eastAsia="Times New Roman"/>
          <w:sz w:val="22"/>
          <w:szCs w:val="22"/>
          <w:lang w:val="en-US" w:eastAsia="ja-JP"/>
        </w:rPr>
        <w:t>This Recommendation provides guidelines for the use of frequency ranges for the operation of non-beam wireless power transmission (WPT)</w:t>
      </w:r>
      <w:r w:rsidR="0022319C" w:rsidRPr="004E7D68">
        <w:rPr>
          <w:rFonts w:eastAsia="Times New Roman"/>
          <w:sz w:val="22"/>
          <w:szCs w:val="22"/>
          <w:lang w:val="en-US" w:eastAsia="ja-JP"/>
        </w:rPr>
        <w:t xml:space="preserve"> for</w:t>
      </w:r>
      <w:r w:rsidRPr="004E7D68">
        <w:rPr>
          <w:rFonts w:eastAsia="Times New Roman"/>
          <w:sz w:val="22"/>
          <w:szCs w:val="22"/>
          <w:lang w:val="en-US" w:eastAsia="ja-JP"/>
        </w:rPr>
        <w:t xml:space="preserve"> charging of mobile/portable devices.</w:t>
      </w:r>
    </w:p>
    <w:p w:rsidR="00915E0D" w:rsidRPr="00353774" w:rsidRDefault="00915E0D" w:rsidP="003939D7">
      <w:pPr>
        <w:jc w:val="both"/>
        <w:rPr>
          <w:rFonts w:eastAsia="MS Mincho"/>
          <w:b/>
          <w:bCs/>
          <w:szCs w:val="24"/>
          <w:lang w:val="en-US" w:eastAsia="ko-KR"/>
        </w:rPr>
      </w:pPr>
      <w:r w:rsidRPr="00353774">
        <w:rPr>
          <w:rFonts w:eastAsia="MS Mincho"/>
          <w:b/>
          <w:bCs/>
          <w:szCs w:val="24"/>
          <w:lang w:val="en-US" w:eastAsia="ko-KR"/>
        </w:rPr>
        <w:t>Keywords</w:t>
      </w:r>
      <w:bookmarkStart w:id="0" w:name="_GoBack"/>
      <w:bookmarkEnd w:id="0"/>
    </w:p>
    <w:p w:rsidR="00915E0D" w:rsidRDefault="00915E0D" w:rsidP="00915E0D">
      <w:pPr>
        <w:rPr>
          <w:rFonts w:eastAsia="MS Mincho"/>
          <w:szCs w:val="24"/>
          <w:lang w:val="en-US" w:eastAsia="ko-KR"/>
        </w:rPr>
      </w:pPr>
      <w:r w:rsidRPr="00353774">
        <w:rPr>
          <w:rFonts w:eastAsia="MS Mincho"/>
          <w:szCs w:val="24"/>
          <w:lang w:val="en-US" w:eastAsia="ko-KR"/>
        </w:rPr>
        <w:t>Wireless Power Transmission; Short-Range Devices; Industrial, Scientific, Medical; non-beam</w:t>
      </w:r>
    </w:p>
    <w:p w:rsidR="00915E0D" w:rsidRPr="00A933AB" w:rsidRDefault="00915E0D" w:rsidP="003939D7">
      <w:pPr>
        <w:keepNext/>
        <w:tabs>
          <w:tab w:val="clear" w:pos="1134"/>
          <w:tab w:val="clear" w:pos="1871"/>
          <w:tab w:val="clear" w:pos="2268"/>
          <w:tab w:val="left" w:pos="794"/>
          <w:tab w:val="left" w:pos="1191"/>
          <w:tab w:val="left" w:pos="1588"/>
          <w:tab w:val="left" w:pos="1985"/>
        </w:tabs>
        <w:overflowPunct/>
        <w:autoSpaceDE/>
        <w:autoSpaceDN/>
        <w:adjustRightInd/>
        <w:spacing w:after="120"/>
        <w:textAlignment w:val="auto"/>
        <w:rPr>
          <w:rFonts w:eastAsia="MS Mincho"/>
          <w:b/>
          <w:bCs/>
          <w:szCs w:val="24"/>
          <w:lang w:val="fr-FR" w:eastAsia="ru-RU"/>
        </w:rPr>
      </w:pPr>
      <w:proofErr w:type="spellStart"/>
      <w:r w:rsidRPr="00A933AB">
        <w:rPr>
          <w:rFonts w:eastAsia="MS Mincho"/>
          <w:b/>
          <w:bCs/>
          <w:szCs w:val="24"/>
          <w:lang w:val="fr-FR" w:eastAsia="ru-RU"/>
        </w:rPr>
        <w:t>Abbreviations</w:t>
      </w:r>
      <w:proofErr w:type="spellEnd"/>
      <w:r w:rsidRPr="00A933AB">
        <w:rPr>
          <w:rFonts w:eastAsia="MS Mincho"/>
          <w:b/>
          <w:bCs/>
          <w:szCs w:val="24"/>
          <w:lang w:val="fr-FR" w:eastAsia="ru-RU"/>
        </w:rPr>
        <w:t>/</w:t>
      </w:r>
      <w:proofErr w:type="spellStart"/>
      <w:r w:rsidRPr="00A933AB">
        <w:rPr>
          <w:rFonts w:eastAsia="MS Mincho"/>
          <w:b/>
          <w:bCs/>
          <w:szCs w:val="24"/>
          <w:lang w:val="fr-FR" w:eastAsia="ru-RU"/>
        </w:rPr>
        <w:t>Glossary</w:t>
      </w:r>
      <w:proofErr w:type="spellEnd"/>
      <w:r w:rsidRPr="00A933AB">
        <w:rPr>
          <w:rFonts w:eastAsia="MS Mincho"/>
          <w:b/>
          <w:bCs/>
          <w:szCs w:val="24"/>
          <w:lang w:val="fr-FR" w:eastAsia="ru-RU"/>
        </w:rPr>
        <w:t xml:space="preserve"> </w:t>
      </w:r>
    </w:p>
    <w:p w:rsidR="00837F0D" w:rsidRPr="00A933AB" w:rsidRDefault="00837F0D" w:rsidP="00837F0D">
      <w:pPr>
        <w:rPr>
          <w:rFonts w:eastAsia="MS Mincho"/>
          <w:lang w:val="fr-FR"/>
        </w:rPr>
      </w:pPr>
      <w:r w:rsidRPr="00A933AB">
        <w:rPr>
          <w:rFonts w:eastAsia="MS Mincho"/>
          <w:lang w:val="fr-FR"/>
        </w:rPr>
        <w:t>CISPR:</w:t>
      </w:r>
      <w:r w:rsidRPr="00A933AB">
        <w:rPr>
          <w:rFonts w:eastAsia="MS Mincho"/>
          <w:lang w:val="fr-FR"/>
        </w:rPr>
        <w:tab/>
        <w:t xml:space="preserve">In French “Comité International Spécial des Perturbations Radioélectriques”, </w:t>
      </w:r>
    </w:p>
    <w:p w:rsidR="00837F0D" w:rsidRDefault="00837F0D" w:rsidP="00837F0D">
      <w:pPr>
        <w:rPr>
          <w:rFonts w:eastAsia="MS Mincho"/>
          <w:lang w:val="en-US"/>
        </w:rPr>
      </w:pPr>
      <w:r w:rsidRPr="00A933AB">
        <w:rPr>
          <w:rFonts w:eastAsia="MS Mincho"/>
          <w:lang w:val="fr-FR"/>
        </w:rPr>
        <w:t xml:space="preserve"> </w:t>
      </w:r>
      <w:r w:rsidRPr="00A933AB">
        <w:rPr>
          <w:rFonts w:eastAsia="MS Mincho"/>
          <w:lang w:val="fr-FR"/>
        </w:rPr>
        <w:tab/>
      </w:r>
      <w:r w:rsidRPr="00865A87">
        <w:rPr>
          <w:rFonts w:eastAsia="MS Mincho"/>
          <w:lang w:val="en-US"/>
        </w:rPr>
        <w:t xml:space="preserve">International Special Committee on Radio Interference </w:t>
      </w:r>
    </w:p>
    <w:p w:rsidR="00915E0D" w:rsidRPr="00374970" w:rsidRDefault="00915E0D" w:rsidP="00915E0D">
      <w:pPr>
        <w:rPr>
          <w:rFonts w:eastAsia="MS Mincho"/>
          <w:lang w:val="en-US"/>
        </w:rPr>
      </w:pPr>
      <w:r w:rsidRPr="00374970">
        <w:rPr>
          <w:rFonts w:eastAsia="MS Mincho"/>
          <w:lang w:val="en-US"/>
        </w:rPr>
        <w:t>ICNIRP:</w:t>
      </w:r>
      <w:r w:rsidRPr="00374970">
        <w:rPr>
          <w:rFonts w:eastAsia="MS Mincho"/>
          <w:lang w:val="en-US"/>
        </w:rPr>
        <w:tab/>
        <w:t>International Commission on Non</w:t>
      </w:r>
      <w:r w:rsidRPr="00374970">
        <w:rPr>
          <w:rFonts w:eastAsia="MS Mincho"/>
          <w:lang w:val="en-US"/>
        </w:rPr>
        <w:noBreakHyphen/>
        <w:t>ionizing Radiation Protection</w:t>
      </w:r>
    </w:p>
    <w:p w:rsidR="00915E0D" w:rsidRPr="00374970" w:rsidRDefault="00915E0D" w:rsidP="00915E0D">
      <w:pPr>
        <w:rPr>
          <w:rFonts w:eastAsia="MS Mincho"/>
          <w:lang w:val="en-US" w:eastAsia="zh-CN"/>
        </w:rPr>
      </w:pPr>
      <w:r w:rsidRPr="00374970">
        <w:rPr>
          <w:rFonts w:eastAsia="MS Mincho"/>
          <w:lang w:val="en-US" w:eastAsia="zh-CN"/>
        </w:rPr>
        <w:t>IEC:</w:t>
      </w:r>
      <w:r w:rsidRPr="00374970">
        <w:rPr>
          <w:rFonts w:eastAsia="MS Mincho"/>
          <w:lang w:val="en-US" w:eastAsia="zh-CN"/>
        </w:rPr>
        <w:tab/>
        <w:t xml:space="preserve">International </w:t>
      </w:r>
      <w:proofErr w:type="spellStart"/>
      <w:r w:rsidRPr="00374970">
        <w:rPr>
          <w:rFonts w:eastAsia="MS Mincho"/>
          <w:lang w:val="en-US" w:eastAsia="zh-CN"/>
        </w:rPr>
        <w:t>Electrotechnical</w:t>
      </w:r>
      <w:proofErr w:type="spellEnd"/>
      <w:r w:rsidRPr="00374970">
        <w:rPr>
          <w:rFonts w:eastAsia="MS Mincho"/>
          <w:lang w:val="en-US" w:eastAsia="zh-CN"/>
        </w:rPr>
        <w:t xml:space="preserve"> Commission</w:t>
      </w:r>
    </w:p>
    <w:p w:rsidR="00915E0D" w:rsidRPr="00374970" w:rsidRDefault="00915E0D" w:rsidP="00915E0D">
      <w:pPr>
        <w:rPr>
          <w:rFonts w:eastAsia="MS Mincho"/>
          <w:lang w:val="en-US" w:eastAsia="zh-CN"/>
        </w:rPr>
      </w:pPr>
      <w:r w:rsidRPr="00374970">
        <w:rPr>
          <w:rFonts w:eastAsia="MS Mincho"/>
          <w:lang w:val="en-US" w:eastAsia="zh-CN"/>
        </w:rPr>
        <w:t>ISO:</w:t>
      </w:r>
      <w:r w:rsidRPr="00374970">
        <w:rPr>
          <w:rFonts w:eastAsia="MS Mincho"/>
          <w:lang w:val="en-US" w:eastAsia="zh-CN"/>
        </w:rPr>
        <w:tab/>
        <w:t>International Standard Organization</w:t>
      </w:r>
    </w:p>
    <w:p w:rsidR="00915E0D" w:rsidRPr="00374970" w:rsidRDefault="00915E0D" w:rsidP="00915E0D">
      <w:pPr>
        <w:rPr>
          <w:rFonts w:eastAsia="MS Mincho"/>
          <w:lang w:val="en-US" w:eastAsia="ko-KR"/>
        </w:rPr>
      </w:pPr>
      <w:r w:rsidRPr="00374970">
        <w:rPr>
          <w:rFonts w:eastAsia="Calibri"/>
          <w:lang w:val="en-US"/>
        </w:rPr>
        <w:t>ISM:</w:t>
      </w:r>
      <w:r w:rsidRPr="00374970">
        <w:rPr>
          <w:rFonts w:eastAsia="Calibri"/>
          <w:lang w:val="en-US"/>
        </w:rPr>
        <w:tab/>
        <w:t>Industrial, Scientific, Medical</w:t>
      </w:r>
      <w:r w:rsidRPr="00374970">
        <w:rPr>
          <w:rFonts w:eastAsia="MS Mincho"/>
          <w:lang w:val="en-US" w:eastAsia="ko-KR"/>
        </w:rPr>
        <w:t xml:space="preserve"> </w:t>
      </w:r>
    </w:p>
    <w:p w:rsidR="00915E0D" w:rsidRPr="00374970" w:rsidRDefault="00915E0D" w:rsidP="00915E0D">
      <w:pPr>
        <w:rPr>
          <w:rFonts w:eastAsia="MS Mincho"/>
          <w:lang w:val="en-US" w:eastAsia="zh-CN"/>
        </w:rPr>
      </w:pPr>
      <w:r w:rsidRPr="00374970">
        <w:rPr>
          <w:rFonts w:eastAsia="MS Mincho"/>
          <w:lang w:val="en-US" w:eastAsia="ko-KR"/>
        </w:rPr>
        <w:t>GSC:</w:t>
      </w:r>
      <w:r w:rsidRPr="00374970">
        <w:rPr>
          <w:rFonts w:eastAsia="MS Mincho"/>
          <w:lang w:val="en-US" w:eastAsia="ko-KR"/>
        </w:rPr>
        <w:tab/>
        <w:t>Global Standards Collaboration</w:t>
      </w:r>
    </w:p>
    <w:p w:rsidR="00915E0D" w:rsidRPr="00374970" w:rsidRDefault="00915E0D" w:rsidP="00915E0D">
      <w:pPr>
        <w:rPr>
          <w:rFonts w:eastAsia="MS Mincho"/>
        </w:rPr>
      </w:pPr>
      <w:r w:rsidRPr="00374970">
        <w:rPr>
          <w:rFonts w:eastAsia="MS Mincho"/>
          <w:lang w:val="en-US" w:eastAsia="zh-CN"/>
        </w:rPr>
        <w:t>RR:</w:t>
      </w:r>
      <w:r w:rsidRPr="00374970">
        <w:rPr>
          <w:rFonts w:eastAsia="MS Mincho"/>
          <w:lang w:val="en-US" w:eastAsia="zh-CN"/>
        </w:rPr>
        <w:tab/>
        <w:t>Radio Regulations</w:t>
      </w:r>
    </w:p>
    <w:p w:rsidR="00915E0D" w:rsidRPr="00374970" w:rsidRDefault="00915E0D" w:rsidP="00915E0D">
      <w:pPr>
        <w:rPr>
          <w:rFonts w:eastAsia="MS Mincho"/>
          <w:lang w:val="en-US" w:eastAsia="zh-CN"/>
        </w:rPr>
      </w:pPr>
      <w:r w:rsidRPr="00374970">
        <w:rPr>
          <w:rFonts w:eastAsia="MS Mincho"/>
          <w:lang w:val="en-US" w:eastAsia="zh-CN"/>
        </w:rPr>
        <w:t>SAE:</w:t>
      </w:r>
      <w:r w:rsidRPr="00374970">
        <w:rPr>
          <w:rFonts w:eastAsia="MS Mincho"/>
          <w:lang w:val="en-US" w:eastAsia="zh-CN"/>
        </w:rPr>
        <w:tab/>
        <w:t>Society of Automotive Engineers</w:t>
      </w:r>
    </w:p>
    <w:p w:rsidR="00915E0D" w:rsidRPr="00374970" w:rsidRDefault="00915E0D" w:rsidP="00915E0D">
      <w:pPr>
        <w:rPr>
          <w:rFonts w:eastAsia="MS Mincho"/>
          <w:lang w:val="en-US"/>
        </w:rPr>
      </w:pPr>
      <w:r w:rsidRPr="00374970">
        <w:rPr>
          <w:rFonts w:eastAsia="MS Mincho"/>
          <w:lang w:val="en-US"/>
        </w:rPr>
        <w:t>WHO:</w:t>
      </w:r>
      <w:r w:rsidRPr="00374970">
        <w:rPr>
          <w:rFonts w:eastAsia="MS Mincho"/>
          <w:lang w:val="en-US"/>
        </w:rPr>
        <w:tab/>
        <w:t>World Health Organization</w:t>
      </w:r>
    </w:p>
    <w:p w:rsidR="00915E0D" w:rsidRPr="00374970" w:rsidRDefault="00915E0D" w:rsidP="00915E0D">
      <w:pPr>
        <w:rPr>
          <w:rFonts w:eastAsia="MS Mincho"/>
          <w:lang w:val="en-US" w:eastAsia="ko-KR"/>
        </w:rPr>
      </w:pPr>
      <w:r w:rsidRPr="00374970">
        <w:rPr>
          <w:rFonts w:eastAsia="MS Mincho"/>
        </w:rPr>
        <w:t>WPT:</w:t>
      </w:r>
      <w:r w:rsidRPr="00374970">
        <w:rPr>
          <w:rFonts w:eastAsia="MS Mincho"/>
        </w:rPr>
        <w:tab/>
      </w:r>
      <w:r w:rsidRPr="00374970">
        <w:rPr>
          <w:rFonts w:eastAsia="MS Mincho"/>
          <w:lang w:val="en-US" w:eastAsia="ko-KR"/>
        </w:rPr>
        <w:t>Wireless Power Transmission</w:t>
      </w:r>
    </w:p>
    <w:p w:rsidR="00915E0D" w:rsidRPr="00686839" w:rsidRDefault="00915E0D" w:rsidP="00915E0D">
      <w:pPr>
        <w:rPr>
          <w:rFonts w:eastAsia="MS Mincho"/>
        </w:rPr>
      </w:pPr>
      <w:r w:rsidRPr="00374970">
        <w:rPr>
          <w:rFonts w:eastAsia="MS Mincho"/>
          <w:lang w:val="en-US"/>
        </w:rPr>
        <w:t>WRC-19:</w:t>
      </w:r>
      <w:r w:rsidRPr="00374970">
        <w:rPr>
          <w:rFonts w:eastAsia="MS Mincho"/>
          <w:lang w:val="en-US"/>
        </w:rPr>
        <w:tab/>
        <w:t>World Radiocommunication Conference 2019</w:t>
      </w:r>
    </w:p>
    <w:p w:rsidR="00915E0D" w:rsidRPr="002F3BAE" w:rsidRDefault="00915E0D" w:rsidP="003939D7">
      <w:pPr>
        <w:spacing w:before="160"/>
        <w:rPr>
          <w:rFonts w:eastAsia="SimSun"/>
          <w:b/>
          <w:szCs w:val="24"/>
          <w:lang w:val="en-US"/>
        </w:rPr>
      </w:pPr>
      <w:r w:rsidRPr="002F3BAE">
        <w:rPr>
          <w:rFonts w:eastAsia="SimSun"/>
          <w:b/>
          <w:szCs w:val="24"/>
          <w:lang w:val="en-US"/>
        </w:rPr>
        <w:t xml:space="preserve">Related APT and </w:t>
      </w:r>
      <w:r w:rsidRPr="003939D7">
        <w:rPr>
          <w:rFonts w:eastAsia="SimSun"/>
          <w:b/>
          <w:szCs w:val="24"/>
          <w:lang w:val="en-US"/>
        </w:rPr>
        <w:t>ITU</w:t>
      </w:r>
      <w:r w:rsidR="00A933AB" w:rsidRPr="003939D7">
        <w:rPr>
          <w:rFonts w:eastAsia="SimSun"/>
          <w:b/>
          <w:szCs w:val="24"/>
          <w:lang w:val="en-US"/>
        </w:rPr>
        <w:t>-R</w:t>
      </w:r>
      <w:r w:rsidRPr="002F3BAE">
        <w:rPr>
          <w:rFonts w:eastAsia="SimSun"/>
          <w:b/>
          <w:szCs w:val="24"/>
          <w:lang w:val="en-US"/>
        </w:rPr>
        <w:t xml:space="preserve"> Recommendations, Reports</w:t>
      </w:r>
    </w:p>
    <w:p w:rsidR="00915E0D" w:rsidRPr="00E3664E" w:rsidRDefault="008D1927" w:rsidP="000E3A42">
      <w:pPr>
        <w:rPr>
          <w:rFonts w:eastAsia="Times New Roman"/>
          <w:lang w:val="en-US" w:eastAsia="ja-JP"/>
        </w:rPr>
      </w:pPr>
      <w:hyperlink r:id="rId9" w:history="1">
        <w:r w:rsidR="00915E0D" w:rsidRPr="00270A04">
          <w:rPr>
            <w:rStyle w:val="Hyperlink"/>
            <w:szCs w:val="24"/>
          </w:rPr>
          <w:t>APT/AWG/REP-48</w:t>
        </w:r>
      </w:hyperlink>
      <w:r w:rsidR="00915E0D">
        <w:rPr>
          <w:szCs w:val="24"/>
        </w:rPr>
        <w:t>,</w:t>
      </w:r>
      <w:r w:rsidR="00915E0D" w:rsidRPr="0054510A">
        <w:rPr>
          <w:szCs w:val="24"/>
        </w:rPr>
        <w:t xml:space="preserve"> APT Survey Report on "Wireless Power Transmission"</w:t>
      </w:r>
      <w:r w:rsidR="00915E0D">
        <w:rPr>
          <w:szCs w:val="24"/>
        </w:rPr>
        <w:t>;</w:t>
      </w:r>
      <w:r w:rsidR="00915E0D" w:rsidRPr="0054510A">
        <w:rPr>
          <w:szCs w:val="24"/>
        </w:rPr>
        <w:t xml:space="preserve"> </w:t>
      </w:r>
      <w:hyperlink r:id="rId10" w:history="1">
        <w:hyperlink r:id="rId11" w:history="1">
          <w:r w:rsidR="00915E0D" w:rsidRPr="00270A04">
            <w:rPr>
              <w:rStyle w:val="Hyperlink"/>
              <w:szCs w:val="24"/>
            </w:rPr>
            <w:t>APT/AWG/REP-62(Rev.1)</w:t>
          </w:r>
        </w:hyperlink>
      </w:hyperlink>
      <w:r w:rsidR="00915E0D">
        <w:rPr>
          <w:szCs w:val="24"/>
        </w:rPr>
        <w:t>,</w:t>
      </w:r>
      <w:r w:rsidR="00915E0D" w:rsidRPr="009F1F9A">
        <w:rPr>
          <w:szCs w:val="24"/>
        </w:rPr>
        <w:t xml:space="preserve"> </w:t>
      </w:r>
      <w:r w:rsidR="00915E0D" w:rsidRPr="0054510A">
        <w:rPr>
          <w:szCs w:val="24"/>
        </w:rPr>
        <w:t>APT Report on "Wireless Power Transmission (WPT)"</w:t>
      </w:r>
      <w:r w:rsidR="00915E0D">
        <w:rPr>
          <w:szCs w:val="24"/>
        </w:rPr>
        <w:t>;</w:t>
      </w:r>
      <w:r w:rsidR="00915E0D" w:rsidRPr="0054510A">
        <w:rPr>
          <w:szCs w:val="24"/>
        </w:rPr>
        <w:t xml:space="preserve"> </w:t>
      </w:r>
      <w:hyperlink r:id="rId12" w:history="1">
        <w:r w:rsidR="00E3664E" w:rsidRPr="00861DA7">
          <w:rPr>
            <w:rStyle w:val="Hyperlink"/>
            <w:szCs w:val="24"/>
          </w:rPr>
          <w:t>Recommendation ITU-R SM.2110-0</w:t>
        </w:r>
      </w:hyperlink>
      <w:r w:rsidR="00E3664E">
        <w:rPr>
          <w:szCs w:val="24"/>
        </w:rPr>
        <w:t xml:space="preserve">; </w:t>
      </w:r>
      <w:hyperlink r:id="rId13" w:history="1">
        <w:r w:rsidR="00915E0D" w:rsidRPr="002F3BAE">
          <w:rPr>
            <w:rFonts w:eastAsia="Calibri"/>
            <w:color w:val="0000FF"/>
            <w:u w:val="single"/>
            <w:lang w:val="en-US"/>
          </w:rPr>
          <w:t>Recommendation ITU-R SM.1056</w:t>
        </w:r>
      </w:hyperlink>
      <w:r w:rsidR="00915E0D" w:rsidRPr="002F3BAE">
        <w:rPr>
          <w:rFonts w:eastAsia="Calibri"/>
          <w:lang w:val="en-US"/>
        </w:rPr>
        <w:t xml:space="preserve">; </w:t>
      </w:r>
      <w:hyperlink r:id="rId14" w:history="1">
        <w:r w:rsidR="00915E0D" w:rsidRPr="002F3BAE">
          <w:rPr>
            <w:rFonts w:eastAsia="MS Mincho"/>
            <w:color w:val="0000FF"/>
            <w:u w:val="single"/>
            <w:lang w:val="en-US" w:eastAsia="ko-KR"/>
          </w:rPr>
          <w:t>Recommendation ITU-R SM.1896</w:t>
        </w:r>
      </w:hyperlink>
      <w:r w:rsidR="00915E0D" w:rsidRPr="002F3BAE">
        <w:rPr>
          <w:rFonts w:eastAsia="Calibri"/>
          <w:lang w:val="en-US"/>
        </w:rPr>
        <w:t xml:space="preserve">; </w:t>
      </w:r>
      <w:hyperlink r:id="rId15" w:history="1">
        <w:hyperlink r:id="rId16" w:history="1">
          <w:r w:rsidR="00915E0D" w:rsidRPr="00EF57A1">
            <w:rPr>
              <w:rStyle w:val="Hyperlink"/>
              <w:rFonts w:eastAsia="MS Mincho"/>
              <w:lang w:val="en-US" w:eastAsia="ko-KR"/>
            </w:rPr>
            <w:t>Report ITU-R SM.2153</w:t>
          </w:r>
        </w:hyperlink>
      </w:hyperlink>
      <w:r w:rsidR="00915E0D" w:rsidRPr="002F3BAE">
        <w:rPr>
          <w:rFonts w:eastAsia="Calibri"/>
          <w:lang w:val="en-US"/>
        </w:rPr>
        <w:t xml:space="preserve">; </w:t>
      </w:r>
      <w:hyperlink r:id="rId17" w:history="1">
        <w:hyperlink r:id="rId18" w:history="1">
          <w:r w:rsidR="00915E0D" w:rsidRPr="00323AFB">
            <w:rPr>
              <w:rStyle w:val="Hyperlink"/>
              <w:rFonts w:eastAsia="Calibri"/>
              <w:lang w:val="en-US"/>
            </w:rPr>
            <w:t>Report ITU-R SM.2303</w:t>
          </w:r>
        </w:hyperlink>
      </w:hyperlink>
      <w:r w:rsidR="00915E0D" w:rsidRPr="002F3BAE">
        <w:rPr>
          <w:rFonts w:eastAsia="Calibri"/>
          <w:lang w:val="en-US"/>
        </w:rPr>
        <w:t>.</w:t>
      </w:r>
    </w:p>
    <w:p w:rsidR="000E3A42" w:rsidRPr="004E7D68" w:rsidRDefault="000E3A42" w:rsidP="000E3A42">
      <w:pPr>
        <w:spacing w:before="360"/>
        <w:rPr>
          <w:rFonts w:eastAsia="Times New Roman"/>
          <w:lang w:val="en-US" w:eastAsia="ja-JP"/>
        </w:rPr>
      </w:pPr>
      <w:r w:rsidRPr="004E7D68">
        <w:rPr>
          <w:rFonts w:eastAsia="Times New Roman"/>
          <w:lang w:val="en-US" w:eastAsia="ja-JP"/>
        </w:rPr>
        <w:t>The Asia</w:t>
      </w:r>
      <w:r w:rsidR="0026711C">
        <w:rPr>
          <w:rFonts w:eastAsia="Times New Roman"/>
          <w:lang w:val="en-US" w:eastAsia="ja-JP"/>
        </w:rPr>
        <w:t>-</w:t>
      </w:r>
      <w:r w:rsidRPr="004E7D68">
        <w:rPr>
          <w:rFonts w:eastAsia="Times New Roman"/>
          <w:lang w:val="en-US" w:eastAsia="ja-JP"/>
        </w:rPr>
        <w:t>Pacific Telecommunity (APT),</w:t>
      </w:r>
    </w:p>
    <w:p w:rsidR="000E3A42" w:rsidRPr="004E7D68" w:rsidRDefault="000E3A42" w:rsidP="000E3A42">
      <w:pPr>
        <w:keepNext/>
        <w:keepLines/>
        <w:spacing w:before="160"/>
        <w:ind w:left="1134"/>
        <w:rPr>
          <w:rFonts w:eastAsia="Times New Roman"/>
          <w:i/>
          <w:lang w:val="en-US" w:eastAsia="ja-JP"/>
        </w:rPr>
      </w:pPr>
      <w:proofErr w:type="gramStart"/>
      <w:r w:rsidRPr="004E7D68">
        <w:rPr>
          <w:rFonts w:eastAsia="Times New Roman"/>
          <w:i/>
          <w:lang w:val="en-US" w:eastAsia="ja-JP"/>
        </w:rPr>
        <w:lastRenderedPageBreak/>
        <w:t>considering</w:t>
      </w:r>
      <w:proofErr w:type="gramEnd"/>
    </w:p>
    <w:p w:rsidR="000E3A42" w:rsidRPr="004E7D68" w:rsidRDefault="000E3A42" w:rsidP="000E3A42">
      <w:pPr>
        <w:rPr>
          <w:rFonts w:eastAsia="Times New Roman"/>
          <w:lang w:val="en-US" w:eastAsia="ja-JP"/>
        </w:rPr>
      </w:pPr>
      <w:r w:rsidRPr="004E7D68">
        <w:rPr>
          <w:rFonts w:eastAsia="Times New Roman"/>
          <w:i/>
          <w:iCs/>
          <w:lang w:val="en-US" w:eastAsia="ja-JP"/>
        </w:rPr>
        <w:t>a)</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wireless power transmission (WPT) is defined as the transmission of power from a</w:t>
      </w:r>
      <w:r w:rsidR="00346781">
        <w:rPr>
          <w:rFonts w:eastAsia="Times New Roman"/>
          <w:lang w:val="en-US" w:eastAsia="ja-JP"/>
        </w:rPr>
        <w:t xml:space="preserve"> </w:t>
      </w:r>
      <w:r w:rsidRPr="004E7D68">
        <w:rPr>
          <w:rFonts w:eastAsia="Times New Roman"/>
          <w:lang w:val="en-US" w:eastAsia="ja-JP"/>
        </w:rPr>
        <w:t>power source to an electrical load using electromagnetic field;</w:t>
      </w:r>
    </w:p>
    <w:p w:rsidR="000E3A42" w:rsidRPr="004E7D68" w:rsidRDefault="000E3A42" w:rsidP="000E3A42">
      <w:pPr>
        <w:rPr>
          <w:rFonts w:eastAsia="Times New Roman"/>
          <w:lang w:val="en-US" w:eastAsia="ja-JP"/>
        </w:rPr>
      </w:pPr>
      <w:r w:rsidRPr="004E7D68">
        <w:rPr>
          <w:rFonts w:eastAsia="Times New Roman"/>
          <w:i/>
          <w:iCs/>
          <w:lang w:val="en-US" w:eastAsia="ja-JP"/>
        </w:rPr>
        <w:t>b)</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WPT technologies utilize various mechanisms, such as transmission via radio frequency beams, inductive, resonant and capacitive coupling;</w:t>
      </w:r>
    </w:p>
    <w:p w:rsidR="000E3A42" w:rsidRPr="004E7D68" w:rsidRDefault="000E3A42" w:rsidP="000E3A42">
      <w:pPr>
        <w:rPr>
          <w:rFonts w:eastAsia="Times New Roman"/>
          <w:szCs w:val="24"/>
          <w:lang w:val="en-US" w:eastAsia="ja-JP"/>
        </w:rPr>
      </w:pPr>
      <w:r w:rsidRPr="004E7D68">
        <w:rPr>
          <w:rFonts w:eastAsia="Times New Roman"/>
          <w:i/>
          <w:iCs/>
          <w:lang w:val="en-US" w:eastAsia="ja-JP"/>
        </w:rPr>
        <w:t>c)</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such WPT technologies may be useful in applications of charging</w:t>
      </w:r>
      <w:r w:rsidRPr="004E7D68">
        <w:rPr>
          <w:rFonts w:eastAsia="Times New Roman"/>
          <w:szCs w:val="24"/>
          <w:lang w:val="en-US" w:eastAsia="ja-JP"/>
        </w:rPr>
        <w:t xml:space="preserve"> of mobile/portable devices</w:t>
      </w:r>
      <w:r w:rsidRPr="004E7D68">
        <w:rPr>
          <w:rFonts w:eastAsia="Times New Roman" w:cs="MS PGothic"/>
          <w:szCs w:val="24"/>
          <w:lang w:val="en-US" w:eastAsia="ja-JP"/>
        </w:rPr>
        <w:t xml:space="preserve"> </w:t>
      </w:r>
      <w:r w:rsidRPr="004E7D68">
        <w:rPr>
          <w:rFonts w:eastAsia="Times New Roman"/>
          <w:szCs w:val="24"/>
          <w:lang w:val="en-US" w:eastAsia="ja-JP"/>
        </w:rPr>
        <w:t>and electric vehicles etc.;</w:t>
      </w:r>
    </w:p>
    <w:p w:rsidR="000E3A42" w:rsidRPr="004E7D68" w:rsidRDefault="000E3A42" w:rsidP="000E3A42">
      <w:pPr>
        <w:rPr>
          <w:rFonts w:eastAsia="Times New Roman"/>
          <w:lang w:val="en-US" w:eastAsia="ja-JP"/>
        </w:rPr>
      </w:pPr>
      <w:r w:rsidRPr="004E7D68">
        <w:rPr>
          <w:rFonts w:eastAsia="Times New Roman"/>
          <w:i/>
          <w:lang w:val="en-US" w:eastAsia="ja-JP"/>
        </w:rPr>
        <w:t>d)</w:t>
      </w:r>
      <w:r w:rsidRPr="004E7D68">
        <w:rPr>
          <w:rFonts w:eastAsia="Times New Roman"/>
          <w:lang w:val="en-US" w:eastAsia="ja-JP"/>
        </w:rPr>
        <w:tab/>
        <w:t xml:space="preserve">that WPT standards are currently being developed at national, regional, and international levels for the above-mentioned wireless charging of mobile devices </w:t>
      </w:r>
      <w:r w:rsidRPr="004E7D68">
        <w:rPr>
          <w:rFonts w:eastAsia="Times New Roman"/>
          <w:szCs w:val="24"/>
          <w:lang w:val="en-US" w:eastAsia="ja-JP"/>
        </w:rPr>
        <w:t>and electric vehicles, etc.</w:t>
      </w:r>
      <w:r w:rsidRPr="004E7D68">
        <w:rPr>
          <w:rFonts w:eastAsia="Times New Roman"/>
          <w:lang w:val="en-US" w:eastAsia="ja-JP"/>
        </w:rPr>
        <w:t>;</w:t>
      </w:r>
    </w:p>
    <w:p w:rsidR="000E3A42" w:rsidRPr="004E7D68" w:rsidRDefault="000E3A42" w:rsidP="000E3A42">
      <w:pPr>
        <w:rPr>
          <w:rFonts w:eastAsia="Times New Roman"/>
          <w:lang w:val="en-US" w:eastAsia="ja-JP"/>
        </w:rPr>
      </w:pPr>
      <w:r w:rsidRPr="004E7D68">
        <w:rPr>
          <w:rFonts w:eastAsia="Times New Roman"/>
          <w:i/>
          <w:iCs/>
          <w:lang w:val="en-US" w:eastAsia="ja-JP"/>
        </w:rPr>
        <w:t>e)</w:t>
      </w:r>
      <w:r w:rsidRPr="004E7D68">
        <w:rPr>
          <w:rFonts w:eastAsia="Times New Roman"/>
          <w:lang w:val="en-US" w:eastAsia="ja-JP"/>
        </w:rPr>
        <w:tab/>
        <w:t>that industrial alliances, consortia, and academia have investigated several frequency bands for WPT technologies, including; 19</w:t>
      </w:r>
      <w:r w:rsidRPr="004E7D68">
        <w:rPr>
          <w:rFonts w:eastAsia="Times New Roman"/>
          <w:lang w:val="en-US" w:eastAsia="ja-JP"/>
        </w:rPr>
        <w:noBreakHyphen/>
        <w:t>21 kHz and 59</w:t>
      </w:r>
      <w:r w:rsidRPr="004E7D68">
        <w:rPr>
          <w:rFonts w:eastAsia="Times New Roman"/>
          <w:lang w:val="en-US" w:eastAsia="ja-JP"/>
        </w:rPr>
        <w:noBreakHyphen/>
        <w:t>61 kHz for the shaped magnetic field in</w:t>
      </w:r>
      <w:r w:rsidR="00346781">
        <w:rPr>
          <w:rFonts w:eastAsia="Times New Roman"/>
          <w:lang w:val="en-US" w:eastAsia="ja-JP"/>
        </w:rPr>
        <w:t xml:space="preserve"> </w:t>
      </w:r>
      <w:r w:rsidRPr="004E7D68">
        <w:rPr>
          <w:rFonts w:eastAsia="Times New Roman"/>
          <w:lang w:val="en-US" w:eastAsia="ja-JP"/>
        </w:rPr>
        <w:t xml:space="preserve">resonance </w:t>
      </w:r>
      <w:r w:rsidR="00837F0D">
        <w:rPr>
          <w:rFonts w:eastAsia="Times New Roman"/>
          <w:lang w:val="en-US" w:eastAsia="ja-JP"/>
        </w:rPr>
        <w:t xml:space="preserve">for </w:t>
      </w:r>
      <w:r w:rsidR="009E7F6F">
        <w:rPr>
          <w:rFonts w:eastAsia="Times New Roman"/>
          <w:lang w:val="en-US" w:eastAsia="ja-JP"/>
        </w:rPr>
        <w:t>e</w:t>
      </w:r>
      <w:r w:rsidR="009E7F6F" w:rsidRPr="004E7D68">
        <w:rPr>
          <w:rFonts w:eastAsia="Times New Roman"/>
          <w:lang w:val="en-US" w:eastAsia="ja-JP"/>
        </w:rPr>
        <w:t xml:space="preserve">lectric </w:t>
      </w:r>
      <w:r w:rsidR="00E3664E">
        <w:rPr>
          <w:rFonts w:eastAsia="Times New Roman"/>
          <w:lang w:val="en-US" w:eastAsia="ja-JP"/>
        </w:rPr>
        <w:t>v</w:t>
      </w:r>
      <w:r w:rsidR="00E3664E" w:rsidRPr="004E7D68">
        <w:rPr>
          <w:rFonts w:eastAsia="Times New Roman"/>
          <w:lang w:val="en-US" w:eastAsia="ja-JP"/>
        </w:rPr>
        <w:t>ehicles</w:t>
      </w:r>
      <w:r w:rsidRPr="004E7D68">
        <w:rPr>
          <w:rFonts w:eastAsia="Times New Roman"/>
          <w:lang w:val="en-US" w:eastAsia="ja-JP"/>
        </w:rPr>
        <w:t>, 79</w:t>
      </w:r>
      <w:r w:rsidRPr="004E7D68">
        <w:rPr>
          <w:rFonts w:eastAsia="Times New Roman"/>
          <w:lang w:val="en-US" w:eastAsia="ja-JP"/>
        </w:rPr>
        <w:noBreakHyphen/>
        <w:t xml:space="preserve">90 kHz for magnetic resonant technology for </w:t>
      </w:r>
      <w:r w:rsidR="00E3664E">
        <w:rPr>
          <w:rFonts w:eastAsia="Times New Roman"/>
          <w:lang w:val="en-US" w:eastAsia="ja-JP"/>
        </w:rPr>
        <w:t>e</w:t>
      </w:r>
      <w:r w:rsidR="00E3664E" w:rsidRPr="004E7D68">
        <w:rPr>
          <w:rFonts w:eastAsia="Times New Roman"/>
          <w:lang w:val="en-US" w:eastAsia="ja-JP"/>
        </w:rPr>
        <w:t xml:space="preserve">lectric </w:t>
      </w:r>
      <w:r w:rsidR="00E3664E">
        <w:rPr>
          <w:rFonts w:eastAsia="Times New Roman"/>
          <w:lang w:val="en-US" w:eastAsia="ja-JP"/>
        </w:rPr>
        <w:t>v</w:t>
      </w:r>
      <w:r w:rsidR="00E3664E" w:rsidRPr="004E7D68">
        <w:rPr>
          <w:rFonts w:eastAsia="Times New Roman"/>
          <w:lang w:val="en-US" w:eastAsia="ja-JP"/>
        </w:rPr>
        <w:t>ehicles</w:t>
      </w:r>
      <w:r w:rsidRPr="004E7D68">
        <w:rPr>
          <w:rFonts w:eastAsia="Times New Roman"/>
          <w:lang w:val="en-US" w:eastAsia="ja-JP"/>
        </w:rPr>
        <w:t>, 100</w:t>
      </w:r>
      <w:r w:rsidRPr="004E7D68">
        <w:rPr>
          <w:rFonts w:eastAsia="Times New Roman"/>
          <w:lang w:val="en-US" w:eastAsia="ja-JP"/>
        </w:rPr>
        <w:noBreakHyphen/>
        <w:t>300 kHz for magnetic resonant and induction technology for mobile devices and 6</w:t>
      </w:r>
      <w:r w:rsidR="00346781">
        <w:rPr>
          <w:rFonts w:eastAsia="Times New Roman"/>
          <w:lang w:val="en-US" w:eastAsia="ja-JP"/>
        </w:rPr>
        <w:t xml:space="preserve"> </w:t>
      </w:r>
      <w:r w:rsidRPr="004E7D68">
        <w:rPr>
          <w:rFonts w:eastAsia="Times New Roman"/>
          <w:lang w:val="en-US" w:eastAsia="ja-JP"/>
        </w:rPr>
        <w:t>765</w:t>
      </w:r>
      <w:r w:rsidRPr="004E7D68">
        <w:rPr>
          <w:rFonts w:eastAsia="Times New Roman"/>
          <w:lang w:val="en-US" w:eastAsia="ja-JP"/>
        </w:rPr>
        <w:noBreakHyphen/>
        <w:t>6</w:t>
      </w:r>
      <w:r w:rsidR="00346781">
        <w:rPr>
          <w:rFonts w:eastAsia="Times New Roman"/>
          <w:lang w:val="en-US" w:eastAsia="ja-JP"/>
        </w:rPr>
        <w:t xml:space="preserve"> </w:t>
      </w:r>
      <w:r w:rsidRPr="004E7D68">
        <w:rPr>
          <w:rFonts w:eastAsia="Times New Roman"/>
          <w:lang w:val="en-US" w:eastAsia="ja-JP"/>
        </w:rPr>
        <w:t>795</w:t>
      </w:r>
      <w:r w:rsidR="00346781">
        <w:rPr>
          <w:rFonts w:eastAsia="Times New Roman"/>
          <w:lang w:val="en-US" w:eastAsia="ja-JP"/>
        </w:rPr>
        <w:t xml:space="preserve"> </w:t>
      </w:r>
      <w:r w:rsidRPr="004E7D68">
        <w:rPr>
          <w:rFonts w:eastAsia="Times New Roman"/>
          <w:lang w:val="en-US" w:eastAsia="ja-JP"/>
        </w:rPr>
        <w:t>kHz for magnetic resonant technology for mobile devices;</w:t>
      </w:r>
    </w:p>
    <w:p w:rsidR="000E3A42" w:rsidRPr="004E7D68" w:rsidRDefault="000E3A42" w:rsidP="000E3A42">
      <w:pPr>
        <w:keepLines/>
        <w:rPr>
          <w:rFonts w:eastAsia="Times New Roman"/>
          <w:lang w:val="en-US" w:eastAsia="ja-JP"/>
        </w:rPr>
      </w:pPr>
      <w:r w:rsidRPr="004E7D68">
        <w:rPr>
          <w:rFonts w:eastAsia="Times New Roman"/>
          <w:i/>
          <w:lang w:val="en-US" w:eastAsia="ja-JP"/>
        </w:rPr>
        <w:t>f)</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studies have been concluded by one administration on the impact of WPT to radiocommunication services in the bands 79</w:t>
      </w:r>
      <w:r w:rsidRPr="004E7D68">
        <w:rPr>
          <w:rFonts w:eastAsia="Times New Roman"/>
          <w:lang w:val="en-US" w:eastAsia="ja-JP"/>
        </w:rPr>
        <w:noBreakHyphen/>
        <w:t>90 kHz and 6</w:t>
      </w:r>
      <w:r w:rsidR="00346781">
        <w:rPr>
          <w:rFonts w:eastAsia="Times New Roman"/>
          <w:lang w:val="en-US" w:eastAsia="ja-JP"/>
        </w:rPr>
        <w:t xml:space="preserve"> </w:t>
      </w:r>
      <w:r w:rsidRPr="004E7D68">
        <w:rPr>
          <w:rFonts w:eastAsia="Times New Roman"/>
          <w:lang w:val="en-US" w:eastAsia="ja-JP"/>
        </w:rPr>
        <w:t>765</w:t>
      </w:r>
      <w:r w:rsidRPr="004E7D68">
        <w:rPr>
          <w:rFonts w:eastAsia="Times New Roman"/>
          <w:lang w:val="en-US" w:eastAsia="ja-JP"/>
        </w:rPr>
        <w:noBreakHyphen/>
        <w:t>6</w:t>
      </w:r>
      <w:r w:rsidR="00346781">
        <w:rPr>
          <w:rFonts w:eastAsia="Times New Roman"/>
          <w:lang w:val="en-US" w:eastAsia="ja-JP"/>
        </w:rPr>
        <w:t xml:space="preserve"> </w:t>
      </w:r>
      <w:r w:rsidRPr="004E7D68">
        <w:rPr>
          <w:rFonts w:eastAsia="Times New Roman"/>
          <w:lang w:val="en-US" w:eastAsia="ja-JP"/>
        </w:rPr>
        <w:t>795 kHz, another administration undertook studies on the impact of WPT in the band 110</w:t>
      </w:r>
      <w:r w:rsidRPr="004E7D68">
        <w:rPr>
          <w:rFonts w:eastAsia="Times New Roman"/>
          <w:lang w:val="en-US" w:eastAsia="ja-JP"/>
        </w:rPr>
        <w:noBreakHyphen/>
        <w:t>300 kHz and some administrations already authorize use of some of these bands for WPT technologies;</w:t>
      </w:r>
    </w:p>
    <w:p w:rsidR="000E3A42" w:rsidRPr="004E7D68" w:rsidRDefault="000E3A42" w:rsidP="000E3A42">
      <w:pPr>
        <w:rPr>
          <w:rFonts w:eastAsia="Times New Roman"/>
          <w:lang w:val="en-US" w:eastAsia="ja-JP"/>
        </w:rPr>
      </w:pPr>
      <w:r w:rsidRPr="004E7D68">
        <w:rPr>
          <w:rFonts w:eastAsia="Times New Roman"/>
          <w:i/>
          <w:iCs/>
          <w:lang w:val="en-US" w:eastAsia="ja-JP"/>
        </w:rPr>
        <w:t>g)</w:t>
      </w:r>
      <w:r w:rsidRPr="004E7D68">
        <w:rPr>
          <w:rFonts w:eastAsia="Times New Roman" w:cs="Arial"/>
          <w:lang w:val="en-US" w:eastAsia="ja-JP"/>
        </w:rPr>
        <w:tab/>
      </w:r>
      <w:r w:rsidRPr="004E7D68">
        <w:rPr>
          <w:rFonts w:eastAsia="Times New Roman"/>
          <w:lang w:val="en-US" w:eastAsia="ja-JP"/>
        </w:rPr>
        <w:t>that as the number of WPT devices is growing the use of WPT technologies may have an impact on the operation of radiocommunication services including the standard frequency and time signal service and the radio astronomy service;</w:t>
      </w:r>
    </w:p>
    <w:p w:rsidR="000E3A42" w:rsidRPr="004E7D68" w:rsidRDefault="000E3A42" w:rsidP="000E3A42">
      <w:pPr>
        <w:rPr>
          <w:rFonts w:eastAsia="Times New Roman"/>
          <w:lang w:val="en-US" w:eastAsia="ja-JP"/>
        </w:rPr>
      </w:pPr>
      <w:r w:rsidRPr="004E7D68">
        <w:rPr>
          <w:rFonts w:eastAsia="Times New Roman"/>
          <w:i/>
          <w:iCs/>
          <w:lang w:val="en-US" w:eastAsia="ja-JP"/>
        </w:rPr>
        <w:t>h</w:t>
      </w:r>
      <w:r w:rsidRPr="004E7D68">
        <w:rPr>
          <w:rFonts w:eastAsia="Times New Roman"/>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radiation outside the bands used by WPT should be </w:t>
      </w:r>
      <w:r w:rsidR="00A52855" w:rsidRPr="004E7D68">
        <w:rPr>
          <w:rFonts w:eastAsia="Times New Roman"/>
          <w:lang w:val="en-US" w:eastAsia="ja-JP"/>
        </w:rPr>
        <w:t>minimized</w:t>
      </w:r>
      <w:r w:rsidRPr="004E7D68">
        <w:rPr>
          <w:rFonts w:eastAsia="Times New Roman"/>
          <w:lang w:val="en-US" w:eastAsia="ja-JP"/>
        </w:rPr>
        <w:t xml:space="preserve"> in order to preserve the RF spectrum of radiocommunication services;</w:t>
      </w:r>
    </w:p>
    <w:p w:rsidR="000E3A42" w:rsidRPr="004E7D68" w:rsidRDefault="000E3A42" w:rsidP="000E3A42">
      <w:pPr>
        <w:rPr>
          <w:rFonts w:eastAsia="Times New Roman"/>
          <w:lang w:val="en-US" w:eastAsia="ja-JP"/>
        </w:rPr>
      </w:pPr>
      <w:proofErr w:type="spellStart"/>
      <w:r w:rsidRPr="004E7D68">
        <w:rPr>
          <w:rFonts w:eastAsia="Times New Roman"/>
          <w:i/>
          <w:lang w:val="en-US" w:eastAsia="ja-JP"/>
        </w:rPr>
        <w:t>i</w:t>
      </w:r>
      <w:proofErr w:type="spellEnd"/>
      <w:r w:rsidRPr="004E7D68">
        <w:rPr>
          <w:rFonts w:eastAsia="Times New Roman"/>
          <w:i/>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to mitigate the impact of WPT devices on the operation of radiocommunication services some solutions utilize</w:t>
      </w:r>
      <w:r w:rsidR="00E3664E" w:rsidRPr="00E3664E">
        <w:t xml:space="preserve"> </w:t>
      </w:r>
      <w:r w:rsidR="00E3664E" w:rsidRPr="00E3664E">
        <w:rPr>
          <w:rFonts w:eastAsia="Times New Roman"/>
          <w:lang w:val="en-US" w:eastAsia="ja-JP"/>
        </w:rPr>
        <w:t>frequency bands designated for Industrial, Scientific, Medical</w:t>
      </w:r>
      <w:r w:rsidRPr="004E7D68">
        <w:rPr>
          <w:rFonts w:eastAsia="Times New Roman"/>
          <w:lang w:val="en-US" w:eastAsia="ja-JP"/>
        </w:rPr>
        <w:t xml:space="preserve"> </w:t>
      </w:r>
      <w:r w:rsidR="00E3664E">
        <w:rPr>
          <w:rFonts w:eastAsia="Times New Roman"/>
          <w:lang w:val="en-US" w:eastAsia="ja-JP"/>
        </w:rPr>
        <w:t>(</w:t>
      </w:r>
      <w:r w:rsidRPr="004E7D68">
        <w:rPr>
          <w:rFonts w:eastAsia="Times New Roman"/>
          <w:lang w:val="en-US" w:eastAsia="ja-JP"/>
        </w:rPr>
        <w:t>ISM</w:t>
      </w:r>
      <w:r w:rsidR="00E3664E">
        <w:rPr>
          <w:rFonts w:eastAsia="Times New Roman"/>
          <w:lang w:val="en-US" w:eastAsia="ja-JP"/>
        </w:rPr>
        <w:t>)</w:t>
      </w:r>
      <w:r w:rsidRPr="004E7D68">
        <w:rPr>
          <w:rFonts w:eastAsia="Times New Roman"/>
          <w:lang w:val="en-US" w:eastAsia="ja-JP"/>
        </w:rPr>
        <w:t xml:space="preserve"> </w:t>
      </w:r>
      <w:r w:rsidR="002229EB">
        <w:rPr>
          <w:rFonts w:eastAsia="Times New Roman"/>
          <w:lang w:val="en-US" w:eastAsia="ja-JP"/>
        </w:rPr>
        <w:t>applications</w:t>
      </w:r>
      <w:r w:rsidRPr="004E7D68">
        <w:rPr>
          <w:rFonts w:eastAsia="Times New Roman"/>
          <w:lang w:val="en-US" w:eastAsia="ja-JP"/>
        </w:rPr>
        <w:t>;</w:t>
      </w:r>
    </w:p>
    <w:p w:rsidR="000E3A42" w:rsidRPr="004E7D68" w:rsidRDefault="000E3A42" w:rsidP="000E3A42">
      <w:pPr>
        <w:rPr>
          <w:rFonts w:eastAsia="Calibri"/>
          <w:lang w:val="en-US" w:eastAsia="ja-JP"/>
        </w:rPr>
      </w:pPr>
      <w:r w:rsidRPr="004E7D68">
        <w:rPr>
          <w:rFonts w:eastAsia="Times New Roman"/>
          <w:i/>
          <w:iCs/>
          <w:lang w:val="en-US" w:eastAsia="ja-JP"/>
        </w:rPr>
        <w:t>j)</w:t>
      </w:r>
      <w:r w:rsidRPr="004E7D68">
        <w:rPr>
          <w:rFonts w:eastAsia="Times New Roman"/>
          <w:lang w:val="en-US" w:eastAsia="ja-JP"/>
        </w:rPr>
        <w:tab/>
        <w:t>that issues of non-ionizing radiation exposure are dealt with by international organizations such as the World Health Organization (WHO), the International Commission on Non</w:t>
      </w:r>
      <w:r w:rsidRPr="004E7D68">
        <w:rPr>
          <w:rFonts w:eastAsia="Times New Roman"/>
          <w:lang w:val="en-US" w:eastAsia="ja-JP"/>
        </w:rPr>
        <w:noBreakHyphen/>
        <w:t xml:space="preserve">ionizing Radiation Protection (ICNIRP), and International </w:t>
      </w:r>
      <w:proofErr w:type="spellStart"/>
      <w:r w:rsidRPr="004E7D68">
        <w:rPr>
          <w:rFonts w:eastAsia="Times New Roman"/>
          <w:lang w:val="en-US" w:eastAsia="ja-JP"/>
        </w:rPr>
        <w:t>Electrotechnical</w:t>
      </w:r>
      <w:proofErr w:type="spellEnd"/>
      <w:r w:rsidRPr="004E7D68">
        <w:rPr>
          <w:rFonts w:eastAsia="Times New Roman"/>
          <w:lang w:val="en-US" w:eastAsia="ja-JP"/>
        </w:rPr>
        <w:t xml:space="preserve"> Commission TC106,  and </w:t>
      </w:r>
      <w:r w:rsidRPr="004E7D68">
        <w:rPr>
          <w:rFonts w:eastAsia="Calibri"/>
          <w:lang w:val="en-US" w:eastAsia="ja-JP"/>
        </w:rPr>
        <w:t>that ICNIRP 2010 provides guidelines for limiting exposure (up to 10 MHz), and ICNIRP 1998 provides Guidelines for limiting exposure (up</w:t>
      </w:r>
      <w:r w:rsidR="00346781">
        <w:rPr>
          <w:rFonts w:eastAsia="Calibri"/>
          <w:lang w:val="en-US" w:eastAsia="ja-JP"/>
        </w:rPr>
        <w:t xml:space="preserve"> </w:t>
      </w:r>
      <w:r w:rsidRPr="004E7D68">
        <w:rPr>
          <w:rFonts w:eastAsia="Calibri"/>
          <w:lang w:val="en-US" w:eastAsia="ja-JP"/>
        </w:rPr>
        <w:t>to 300 GHz),</w:t>
      </w:r>
    </w:p>
    <w:p w:rsidR="000E3A42" w:rsidRPr="004E7D68" w:rsidRDefault="000E3A42" w:rsidP="000E3A42">
      <w:pPr>
        <w:keepNext/>
        <w:keepLines/>
        <w:spacing w:before="160"/>
        <w:ind w:left="1134"/>
        <w:rPr>
          <w:rFonts w:eastAsia="Times New Roman"/>
          <w:i/>
          <w:lang w:val="en-US" w:eastAsia="ja-JP"/>
        </w:rPr>
      </w:pPr>
      <w:proofErr w:type="gramStart"/>
      <w:r w:rsidRPr="004E7D68">
        <w:rPr>
          <w:rFonts w:eastAsia="Times New Roman"/>
          <w:i/>
          <w:lang w:val="en-US" w:eastAsia="ja-JP"/>
        </w:rPr>
        <w:t>recognizing</w:t>
      </w:r>
      <w:proofErr w:type="gramEnd"/>
    </w:p>
    <w:p w:rsidR="000E3A42" w:rsidRPr="004E7D68" w:rsidRDefault="000E3A42" w:rsidP="000E3A42">
      <w:pPr>
        <w:rPr>
          <w:rFonts w:eastAsia="Times New Roman"/>
          <w:lang w:val="en-US" w:eastAsia="ja-JP"/>
        </w:rPr>
      </w:pPr>
      <w:r w:rsidRPr="004E7D68">
        <w:rPr>
          <w:rFonts w:eastAsia="Times New Roman"/>
          <w:i/>
          <w:lang w:val="en-US" w:eastAsia="ja-JP"/>
        </w:rPr>
        <w:t>a)</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WPT has no status in the Radio Regulations (RR) and therefore should not cause interference to radiocommunication services including the standard frequency and time signal service and the radio astronomy service; </w:t>
      </w:r>
    </w:p>
    <w:p w:rsidR="000E3A42" w:rsidRPr="004E7D68" w:rsidRDefault="000E3A42" w:rsidP="000E3A42">
      <w:pPr>
        <w:rPr>
          <w:rFonts w:eastAsia="Times New Roman"/>
          <w:lang w:val="en-US" w:eastAsia="ja-JP"/>
        </w:rPr>
      </w:pPr>
      <w:r w:rsidRPr="004E7D68">
        <w:rPr>
          <w:rFonts w:eastAsia="Times New Roman"/>
          <w:i/>
          <w:lang w:val="en-US" w:eastAsia="ja-JP"/>
        </w:rPr>
        <w:t>b)</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both consumers and manufacturers will benefit from common spectrum bands used for WPT technologies;</w:t>
      </w:r>
    </w:p>
    <w:p w:rsidR="000E3A42" w:rsidRPr="004E7D68" w:rsidRDefault="000E3A42" w:rsidP="000E3A42">
      <w:pPr>
        <w:rPr>
          <w:rFonts w:eastAsia="Times New Roman"/>
          <w:lang w:val="en-US" w:eastAsia="ja-JP"/>
        </w:rPr>
      </w:pPr>
      <w:r w:rsidRPr="004E7D68">
        <w:rPr>
          <w:rFonts w:eastAsia="Times New Roman"/>
          <w:i/>
          <w:lang w:val="en-US" w:eastAsia="ja-JP"/>
        </w:rPr>
        <w:t>c)</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Industrial, Scientific, Medical (ISM) frequencies have been successfully used in the past for development and proliferation of innovative technologies in accordance with the RR;</w:t>
      </w:r>
    </w:p>
    <w:p w:rsidR="000E3A42" w:rsidRPr="004E7D68" w:rsidRDefault="000E3A42" w:rsidP="000E3A42">
      <w:pPr>
        <w:rPr>
          <w:rFonts w:eastAsia="Times New Roman"/>
          <w:lang w:val="en-US" w:eastAsia="ja-JP"/>
        </w:rPr>
      </w:pPr>
      <w:r w:rsidRPr="004E7D68">
        <w:rPr>
          <w:rFonts w:eastAsia="Times New Roman"/>
          <w:i/>
          <w:lang w:val="en-US" w:eastAsia="ja-JP"/>
        </w:rPr>
        <w:t>d)</w:t>
      </w:r>
      <w:r w:rsidRPr="004E7D68">
        <w:rPr>
          <w:rFonts w:eastAsia="Times New Roman"/>
          <w:lang w:val="en-US" w:eastAsia="ja-JP"/>
        </w:rPr>
        <w:tab/>
        <w:t xml:space="preserve">the band 6 765-6 795 kHz also designated for ISM use under RR No. </w:t>
      </w:r>
      <w:r w:rsidRPr="004E7D68">
        <w:rPr>
          <w:rFonts w:eastAsia="Times New Roman"/>
          <w:b/>
          <w:bCs/>
          <w:lang w:val="en-US" w:eastAsia="ja-JP"/>
        </w:rPr>
        <w:t>5.138</w:t>
      </w:r>
      <w:r w:rsidRPr="004E7D68">
        <w:rPr>
          <w:rFonts w:eastAsia="Times New Roman"/>
          <w:lang w:val="en-US" w:eastAsia="ja-JP"/>
        </w:rPr>
        <w:t xml:space="preserve"> has been found to have advantages for WPT using magnetic resonance technologies in applications of charging of mobile/portable devices;</w:t>
      </w:r>
    </w:p>
    <w:p w:rsidR="000E3A42" w:rsidRPr="004E7D68" w:rsidRDefault="000E3A42" w:rsidP="000E3A42">
      <w:pPr>
        <w:rPr>
          <w:rFonts w:eastAsia="Times New Roman"/>
          <w:lang w:val="en-US" w:eastAsia="ja-JP"/>
        </w:rPr>
      </w:pPr>
      <w:r w:rsidRPr="004E7D68">
        <w:rPr>
          <w:rFonts w:eastAsia="Times New Roman"/>
          <w:i/>
          <w:iCs/>
          <w:lang w:val="en-US" w:eastAsia="ja-JP"/>
        </w:rPr>
        <w:lastRenderedPageBreak/>
        <w:t>e)</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some non-ISM bands are taken into consideration for the global or regional harmonized use of specific WPT applications;</w:t>
      </w:r>
    </w:p>
    <w:p w:rsidR="000E3A42" w:rsidRPr="004E7D68" w:rsidRDefault="000E3A42" w:rsidP="000E3A42">
      <w:pPr>
        <w:rPr>
          <w:rFonts w:eastAsia="Times New Roman"/>
          <w:lang w:val="en-US" w:eastAsia="ja-JP"/>
        </w:rPr>
      </w:pPr>
      <w:r w:rsidRPr="004E7D68">
        <w:rPr>
          <w:rFonts w:eastAsia="Times New Roman"/>
          <w:i/>
          <w:iCs/>
          <w:lang w:val="en-US" w:eastAsia="ja-JP"/>
        </w:rPr>
        <w:t>f)</w:t>
      </w:r>
      <w:r w:rsidRPr="004E7D68">
        <w:rPr>
          <w:rFonts w:eastAsia="Times New Roman"/>
          <w:i/>
          <w:iCs/>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the WPT energy transfer can be treated separately from data communications, especially when the receiving device receives data communications at a different frequency to the energy transfer;</w:t>
      </w:r>
    </w:p>
    <w:p w:rsidR="000E3A42" w:rsidRPr="004E7D68" w:rsidRDefault="000E3A42" w:rsidP="000E3A42">
      <w:pPr>
        <w:rPr>
          <w:rFonts w:eastAsia="Times New Roman"/>
          <w:lang w:val="en-US" w:eastAsia="ja-JP"/>
        </w:rPr>
      </w:pPr>
      <w:r w:rsidRPr="004E7D68">
        <w:rPr>
          <w:rFonts w:eastAsia="Times New Roman"/>
          <w:i/>
          <w:iCs/>
          <w:lang w:val="en-US" w:eastAsia="ja-JP"/>
        </w:rPr>
        <w:t>g)</w:t>
      </w:r>
      <w:r w:rsidRPr="004E7D68">
        <w:rPr>
          <w:rFonts w:eastAsia="Times New Roman"/>
          <w:i/>
          <w:iCs/>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some Administrations classify the </w:t>
      </w:r>
      <w:r w:rsidR="00E3664E">
        <w:rPr>
          <w:rFonts w:eastAsia="Times New Roman"/>
          <w:lang w:val="en-US" w:eastAsia="ja-JP"/>
        </w:rPr>
        <w:t xml:space="preserve">non-beam </w:t>
      </w:r>
      <w:r w:rsidRPr="004E7D68">
        <w:rPr>
          <w:rFonts w:eastAsia="Times New Roman"/>
          <w:lang w:val="en-US" w:eastAsia="ja-JP"/>
        </w:rPr>
        <w:t>WPT energy transfer as an ISM application, even for operation outside bands designated for ISM use;</w:t>
      </w:r>
    </w:p>
    <w:p w:rsidR="000E3A42" w:rsidRPr="004E7D68" w:rsidRDefault="000E3A42" w:rsidP="000E3A42">
      <w:pPr>
        <w:rPr>
          <w:rFonts w:eastAsia="Times New Roman"/>
          <w:i/>
          <w:iCs/>
          <w:lang w:val="en-US" w:eastAsia="ja-JP"/>
        </w:rPr>
      </w:pPr>
      <w:r w:rsidRPr="004E7D68">
        <w:rPr>
          <w:rFonts w:eastAsia="Times New Roman"/>
          <w:i/>
          <w:iCs/>
          <w:lang w:val="en-US" w:eastAsia="ja-JP"/>
        </w:rPr>
        <w:t>h</w:t>
      </w:r>
      <w:r w:rsidRPr="004E7D68">
        <w:rPr>
          <w:rFonts w:eastAsia="Times New Roman"/>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some Administrations classify </w:t>
      </w:r>
      <w:r w:rsidR="00E3664E">
        <w:rPr>
          <w:rFonts w:eastAsia="Times New Roman"/>
          <w:lang w:val="en-US" w:eastAsia="ja-JP"/>
        </w:rPr>
        <w:t xml:space="preserve">non-beam </w:t>
      </w:r>
      <w:r w:rsidRPr="004E7D68">
        <w:rPr>
          <w:rFonts w:eastAsia="Times New Roman"/>
          <w:lang w:val="en-US" w:eastAsia="ja-JP"/>
        </w:rPr>
        <w:t xml:space="preserve">WPT </w:t>
      </w:r>
      <w:r w:rsidR="00E3664E">
        <w:rPr>
          <w:rFonts w:eastAsia="Times New Roman"/>
          <w:lang w:val="en-US" w:eastAsia="ja-JP"/>
        </w:rPr>
        <w:t xml:space="preserve">systems </w:t>
      </w:r>
      <w:r w:rsidRPr="004E7D68">
        <w:rPr>
          <w:rFonts w:eastAsia="Times New Roman"/>
          <w:lang w:val="en-US" w:eastAsia="ja-JP"/>
        </w:rPr>
        <w:t>as Short-Range Devices, and operat</w:t>
      </w:r>
      <w:r w:rsidR="00E3664E">
        <w:rPr>
          <w:rFonts w:eastAsia="Times New Roman"/>
          <w:lang w:val="en-US" w:eastAsia="ja-JP"/>
        </w:rPr>
        <w:t>ing</w:t>
      </w:r>
      <w:r w:rsidRPr="004E7D68">
        <w:rPr>
          <w:rFonts w:eastAsia="Times New Roman"/>
          <w:lang w:val="en-US" w:eastAsia="ja-JP"/>
        </w:rPr>
        <w:t xml:space="preserve"> in </w:t>
      </w:r>
      <w:r w:rsidR="00E3664E">
        <w:rPr>
          <w:rFonts w:eastAsia="Times New Roman"/>
          <w:lang w:val="en-US" w:eastAsia="ja-JP"/>
        </w:rPr>
        <w:t xml:space="preserve">some </w:t>
      </w:r>
      <w:r w:rsidRPr="004E7D68">
        <w:rPr>
          <w:rFonts w:eastAsia="Times New Roman"/>
          <w:lang w:val="en-US" w:eastAsia="ja-JP"/>
        </w:rPr>
        <w:t>bands listed in Recommendation ITU-R SM.1896 and Report ITU-R SM.2153;</w:t>
      </w:r>
    </w:p>
    <w:p w:rsidR="000E3A42" w:rsidRPr="004E7D68" w:rsidRDefault="000E3A42" w:rsidP="000E3A42">
      <w:pPr>
        <w:rPr>
          <w:rFonts w:eastAsia="Times New Roman"/>
          <w:i/>
          <w:iCs/>
          <w:lang w:val="en-US" w:eastAsia="ja-JP"/>
        </w:rPr>
      </w:pPr>
      <w:proofErr w:type="spellStart"/>
      <w:r w:rsidRPr="004E7D68">
        <w:rPr>
          <w:rFonts w:eastAsia="Times New Roman"/>
          <w:i/>
          <w:iCs/>
          <w:lang w:val="en-US" w:eastAsia="ja-JP"/>
        </w:rPr>
        <w:t>i</w:t>
      </w:r>
      <w:proofErr w:type="spellEnd"/>
      <w:r w:rsidRPr="004E7D68">
        <w:rPr>
          <w:rFonts w:eastAsia="Times New Roman"/>
          <w:i/>
          <w:iCs/>
          <w:lang w:val="en-US" w:eastAsia="ja-JP"/>
        </w:rPr>
        <w:t>)</w:t>
      </w:r>
      <w:r w:rsidRPr="004E7D68">
        <w:rPr>
          <w:rFonts w:eastAsia="Times New Roman"/>
          <w:i/>
          <w:iCs/>
          <w:lang w:val="en-US" w:eastAsia="ja-JP"/>
        </w:rPr>
        <w:tab/>
      </w:r>
      <w:r w:rsidRPr="004E7D68">
        <w:rPr>
          <w:rFonts w:eastAsia="Times New Roman"/>
          <w:lang w:val="en-US" w:eastAsia="ja-JP"/>
        </w:rPr>
        <w:t>that in the absence of a load, the WPT shuts off and only periodically polls or searches for the load, with very low duty cycle;</w:t>
      </w:r>
    </w:p>
    <w:p w:rsidR="000E3A42" w:rsidRPr="004E7D68" w:rsidRDefault="000E3A42" w:rsidP="000E3A42">
      <w:pPr>
        <w:rPr>
          <w:rFonts w:eastAsia="Times New Roman"/>
          <w:lang w:val="en-US" w:eastAsia="ja-JP"/>
        </w:rPr>
      </w:pPr>
      <w:r w:rsidRPr="004E7D68">
        <w:rPr>
          <w:rFonts w:eastAsia="Times New Roman"/>
          <w:i/>
          <w:iCs/>
          <w:lang w:val="en-US" w:eastAsia="ja-JP"/>
        </w:rPr>
        <w:t>j</w:t>
      </w:r>
      <w:r w:rsidRPr="004E7D68">
        <w:rPr>
          <w:rFonts w:eastAsia="Times New Roman"/>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for WPT (non-beam), the radiated power is much lower than RF power transferred. Most power is transferred to the receiver through mechanisms such as capacitive, resonant and inductive coupling; </w:t>
      </w:r>
    </w:p>
    <w:p w:rsidR="000E3A42" w:rsidRPr="004E7D68" w:rsidRDefault="000E3A42" w:rsidP="000E3A42">
      <w:pPr>
        <w:rPr>
          <w:rFonts w:eastAsia="Times New Roman"/>
          <w:lang w:val="en-US" w:eastAsia="ja-JP"/>
        </w:rPr>
      </w:pPr>
      <w:r w:rsidRPr="004E7D68">
        <w:rPr>
          <w:rFonts w:eastAsia="Times New Roman"/>
          <w:i/>
          <w:iCs/>
          <w:lang w:val="en-US" w:eastAsia="ja-JP"/>
        </w:rPr>
        <w:t>k)</w:t>
      </w:r>
      <w:r w:rsidRPr="004E7D68">
        <w:rPr>
          <w:rFonts w:eastAsia="Times New Roman"/>
          <w:i/>
          <w:iCs/>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at VLF, LF and MF frequencies the environment is already very noisy relative to the victim’s thermal noise floor, due to atmospheric and man-made noise;</w:t>
      </w:r>
    </w:p>
    <w:p w:rsidR="000E3A42" w:rsidRPr="004E7D68" w:rsidRDefault="000E3A42" w:rsidP="000E3A42">
      <w:pPr>
        <w:rPr>
          <w:rFonts w:eastAsia="Times New Roman"/>
          <w:i/>
          <w:iCs/>
          <w:lang w:val="en-US" w:eastAsia="ja-JP"/>
        </w:rPr>
      </w:pPr>
      <w:r w:rsidRPr="004E7D68">
        <w:rPr>
          <w:rFonts w:eastAsia="Times New Roman"/>
          <w:i/>
          <w:iCs/>
          <w:lang w:val="en-US" w:eastAsia="ja-JP"/>
        </w:rPr>
        <w:t>l</w:t>
      </w:r>
      <w:r w:rsidRPr="004E7D68">
        <w:rPr>
          <w:rFonts w:eastAsia="Times New Roman"/>
          <w:lang w:val="en-US" w:eastAsia="ja-JP"/>
        </w:rPr>
        <w:t>)</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duration or power limits can be placed on WPT,</w:t>
      </w:r>
    </w:p>
    <w:p w:rsidR="000E3A42" w:rsidRPr="004E7D68" w:rsidRDefault="000E3A42" w:rsidP="000E3A42">
      <w:pPr>
        <w:keepNext/>
        <w:keepLines/>
        <w:spacing w:before="160"/>
        <w:ind w:left="1134"/>
        <w:rPr>
          <w:rFonts w:eastAsia="Times New Roman"/>
          <w:i/>
          <w:lang w:val="en-US" w:eastAsia="ja-JP"/>
        </w:rPr>
      </w:pPr>
      <w:proofErr w:type="gramStart"/>
      <w:r w:rsidRPr="004E7D68">
        <w:rPr>
          <w:rFonts w:eastAsia="Times New Roman"/>
          <w:i/>
          <w:lang w:val="en-US" w:eastAsia="ja-JP"/>
        </w:rPr>
        <w:t>noting</w:t>
      </w:r>
      <w:proofErr w:type="gramEnd"/>
    </w:p>
    <w:p w:rsidR="000E3A42" w:rsidRPr="004E7D68" w:rsidRDefault="000E3A42" w:rsidP="000E3A42">
      <w:pPr>
        <w:rPr>
          <w:rFonts w:eastAsia="Times New Roman"/>
          <w:lang w:val="en-US" w:eastAsia="ja-JP"/>
        </w:rPr>
      </w:pPr>
      <w:r w:rsidRPr="004E7D68">
        <w:rPr>
          <w:rFonts w:eastAsia="Times New Roman"/>
          <w:i/>
          <w:iCs/>
          <w:lang w:val="en-US" w:eastAsia="ja-JP"/>
        </w:rPr>
        <w:t>a)</w:t>
      </w:r>
      <w:r w:rsidRPr="004E7D68">
        <w:rPr>
          <w:rFonts w:eastAsia="Times New Roman"/>
          <w:lang w:val="en-US" w:eastAsia="ja-JP"/>
        </w:rPr>
        <w:tab/>
        <w:t xml:space="preserve">that the International </w:t>
      </w:r>
      <w:proofErr w:type="spellStart"/>
      <w:r w:rsidRPr="004E7D68">
        <w:rPr>
          <w:rFonts w:eastAsia="Times New Roman"/>
          <w:lang w:val="en-US" w:eastAsia="ja-JP"/>
        </w:rPr>
        <w:t>Electrotechnical</w:t>
      </w:r>
      <w:proofErr w:type="spellEnd"/>
      <w:r w:rsidRPr="004E7D68">
        <w:rPr>
          <w:rFonts w:eastAsia="Times New Roman"/>
          <w:lang w:val="en-US" w:eastAsia="ja-JP"/>
        </w:rPr>
        <w:t xml:space="preserve"> Commission (IEC) has published a Technical Report </w:t>
      </w:r>
      <w:r w:rsidR="00F32322" w:rsidRPr="006368AC">
        <w:rPr>
          <w:rFonts w:eastAsia="Times New Roman"/>
          <w:lang w:val="en-US" w:eastAsia="ja-JP"/>
        </w:rPr>
        <w:t>IEC/TR 62869</w:t>
      </w:r>
      <w:r w:rsidRPr="004E7D68">
        <w:rPr>
          <w:rFonts w:eastAsia="Times New Roman"/>
          <w:lang w:val="en-US" w:eastAsia="ja-JP"/>
        </w:rPr>
        <w:t xml:space="preserve"> on Wireless Power Transfer for audio, video and multimedia systems and equipment developed by TC 100;</w:t>
      </w:r>
    </w:p>
    <w:p w:rsidR="000E3A42" w:rsidRPr="004E7D68" w:rsidRDefault="000E3A42" w:rsidP="000E3A42">
      <w:pPr>
        <w:rPr>
          <w:rFonts w:eastAsia="Times New Roman"/>
          <w:lang w:val="en-US" w:eastAsia="ja-JP"/>
        </w:rPr>
      </w:pPr>
      <w:r w:rsidRPr="004E7D68">
        <w:rPr>
          <w:rFonts w:eastAsia="Times New Roman"/>
          <w:i/>
          <w:iCs/>
          <w:lang w:val="en-US" w:eastAsia="ja-JP"/>
        </w:rPr>
        <w:t>b)</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the IEC 61980 series, International Standard Organization (ISO) 19363, and the Society of Automotive Engineers (SAE) International J2954 are developing international standards intended for global and regional harmonization on electric vehicle WPT systems;</w:t>
      </w:r>
    </w:p>
    <w:p w:rsidR="000E3A42" w:rsidRPr="004E7D68" w:rsidRDefault="000E3A42" w:rsidP="000E3A42">
      <w:pPr>
        <w:rPr>
          <w:rFonts w:eastAsia="Times New Roman"/>
          <w:lang w:val="en-US" w:eastAsia="ja-JP"/>
        </w:rPr>
      </w:pPr>
      <w:r w:rsidRPr="004E7D68">
        <w:rPr>
          <w:rFonts w:eastAsia="Times New Roman"/>
          <w:i/>
          <w:iCs/>
          <w:lang w:val="en-US" w:eastAsia="ja-JP"/>
        </w:rPr>
        <w:t>c)</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Resolution Global Standards Collaboration (GSC)-17/34 resolves to facilitate a strong and effective standards collaboration on WPT in terms of protocol, regulatory and interoperability aspects;</w:t>
      </w:r>
    </w:p>
    <w:p w:rsidR="000E3A42" w:rsidRPr="004E7D68" w:rsidRDefault="000E3A42" w:rsidP="000E3A42">
      <w:pPr>
        <w:rPr>
          <w:rFonts w:eastAsia="Times New Roman"/>
          <w:lang w:val="en-US" w:eastAsia="ja-JP"/>
        </w:rPr>
      </w:pPr>
      <w:r w:rsidRPr="004E7D68">
        <w:rPr>
          <w:rFonts w:eastAsia="Times New Roman"/>
          <w:i/>
          <w:iCs/>
          <w:lang w:val="en-US" w:eastAsia="ja-JP"/>
        </w:rPr>
        <w:t>d)</w:t>
      </w:r>
      <w:r w:rsidRPr="004E7D68">
        <w:rPr>
          <w:rFonts w:eastAsia="Times New Roman"/>
          <w:lang w:val="en-US" w:eastAsia="ja-JP"/>
        </w:rPr>
        <w:tab/>
      </w:r>
      <w:proofErr w:type="gramStart"/>
      <w:r w:rsidRPr="004E7D68">
        <w:rPr>
          <w:rFonts w:eastAsia="Times New Roman"/>
          <w:lang w:val="en-US" w:eastAsia="ja-JP"/>
        </w:rPr>
        <w:t>that</w:t>
      </w:r>
      <w:proofErr w:type="gramEnd"/>
      <w:r w:rsidRPr="004E7D68">
        <w:rPr>
          <w:rFonts w:eastAsia="Times New Roman"/>
          <w:lang w:val="en-US" w:eastAsia="ja-JP"/>
        </w:rPr>
        <w:t xml:space="preserve"> this Recommendation will assist administrations in applying RR No. </w:t>
      </w:r>
      <w:r w:rsidRPr="004E7D68">
        <w:rPr>
          <w:rFonts w:eastAsia="Times New Roman"/>
          <w:b/>
          <w:bCs/>
          <w:lang w:val="en-US" w:eastAsia="ja-JP"/>
        </w:rPr>
        <w:t>15.13</w:t>
      </w:r>
      <w:r w:rsidRPr="004E7D68">
        <w:rPr>
          <w:rFonts w:eastAsia="Times New Roman"/>
          <w:lang w:val="en-US" w:eastAsia="ja-JP"/>
        </w:rPr>
        <w:t xml:space="preserve"> to prevent harmful interference to a radiocommunication service from equipment used for industrial, scientific and medical applications;</w:t>
      </w:r>
    </w:p>
    <w:p w:rsidR="000E3A42" w:rsidRPr="004E7D68" w:rsidRDefault="000E3A42" w:rsidP="000E3A42">
      <w:pPr>
        <w:rPr>
          <w:rFonts w:eastAsia="Calibri"/>
          <w:lang w:val="en-US" w:eastAsia="ja-JP"/>
        </w:rPr>
      </w:pPr>
      <w:r w:rsidRPr="004E7D68">
        <w:rPr>
          <w:rFonts w:eastAsia="Times New Roman"/>
          <w:i/>
          <w:iCs/>
          <w:lang w:val="en-US" w:eastAsia="ja-JP"/>
        </w:rPr>
        <w:t>e)</w:t>
      </w:r>
      <w:r w:rsidRPr="004E7D68">
        <w:rPr>
          <w:rFonts w:eastAsia="Calibri"/>
          <w:lang w:val="en-US" w:eastAsia="ja-JP"/>
        </w:rPr>
        <w:tab/>
      </w:r>
      <w:proofErr w:type="gramStart"/>
      <w:r w:rsidRPr="004E7D68">
        <w:rPr>
          <w:rFonts w:eastAsia="Calibri"/>
          <w:lang w:val="en-US" w:eastAsia="ja-JP"/>
        </w:rPr>
        <w:t>that</w:t>
      </w:r>
      <w:proofErr w:type="gramEnd"/>
      <w:r w:rsidRPr="004E7D68">
        <w:rPr>
          <w:rFonts w:eastAsia="Calibri"/>
          <w:lang w:val="en-US" w:eastAsia="ja-JP"/>
        </w:rPr>
        <w:t xml:space="preserve"> Recommendation ITU-R SM.1056 on the limitation of radiation from ISM equipment recommends that administrations consider the use of the latest edition of CISPR publication 11;</w:t>
      </w:r>
    </w:p>
    <w:p w:rsidR="000E3A42" w:rsidRPr="004E7D68" w:rsidRDefault="000E3A42" w:rsidP="000E3A42">
      <w:pPr>
        <w:rPr>
          <w:rFonts w:eastAsia="Calibri"/>
          <w:lang w:val="en-US" w:eastAsia="ja-JP"/>
        </w:rPr>
      </w:pPr>
      <w:r w:rsidRPr="004E7D68">
        <w:rPr>
          <w:rFonts w:eastAsia="Times New Roman"/>
          <w:i/>
          <w:iCs/>
          <w:lang w:val="en-US" w:eastAsia="ja-JP"/>
        </w:rPr>
        <w:t>f)</w:t>
      </w:r>
      <w:r w:rsidRPr="004E7D68">
        <w:rPr>
          <w:rFonts w:eastAsia="Calibri"/>
          <w:lang w:val="en-US" w:eastAsia="ja-JP"/>
        </w:rPr>
        <w:tab/>
      </w:r>
      <w:proofErr w:type="gramStart"/>
      <w:r w:rsidRPr="004E7D68">
        <w:rPr>
          <w:rFonts w:eastAsia="Calibri"/>
          <w:lang w:val="en-US" w:eastAsia="ja-JP"/>
        </w:rPr>
        <w:t>that</w:t>
      </w:r>
      <w:proofErr w:type="gramEnd"/>
      <w:r w:rsidRPr="004E7D68">
        <w:rPr>
          <w:rFonts w:eastAsia="Calibri"/>
          <w:lang w:val="en-US" w:eastAsia="ja-JP"/>
        </w:rPr>
        <w:t xml:space="preserve"> </w:t>
      </w:r>
      <w:r w:rsidR="00E3664E" w:rsidRPr="00E3664E">
        <w:rPr>
          <w:rFonts w:eastAsia="Calibri"/>
          <w:lang w:val="en-US" w:eastAsia="ja-JP"/>
        </w:rPr>
        <w:t>APT Report APT/AWG/REP-62</w:t>
      </w:r>
      <w:r w:rsidR="00E3664E">
        <w:rPr>
          <w:rFonts w:eastAsia="Calibri"/>
          <w:lang w:val="en-US" w:eastAsia="ja-JP"/>
        </w:rPr>
        <w:t xml:space="preserve"> and </w:t>
      </w:r>
      <w:r w:rsidRPr="004E7D68">
        <w:rPr>
          <w:rFonts w:eastAsia="Calibri"/>
          <w:lang w:val="en-US" w:eastAsia="ja-JP"/>
        </w:rPr>
        <w:t>Report ITU-R SM.2303 discuss WPT using technologies other than radio frequency beam,</w:t>
      </w:r>
    </w:p>
    <w:p w:rsidR="000E3A42" w:rsidRPr="004E7D68" w:rsidRDefault="000E3A42" w:rsidP="000E3A42">
      <w:pPr>
        <w:keepNext/>
        <w:keepLines/>
        <w:spacing w:before="160"/>
        <w:ind w:left="1134"/>
        <w:rPr>
          <w:rFonts w:eastAsia="Times New Roman"/>
          <w:i/>
          <w:lang w:val="en-US" w:eastAsia="ja-JP"/>
        </w:rPr>
      </w:pPr>
      <w:proofErr w:type="gramStart"/>
      <w:r w:rsidRPr="004E7D68">
        <w:rPr>
          <w:rFonts w:eastAsia="Times New Roman"/>
          <w:i/>
          <w:lang w:val="en-US" w:eastAsia="ja-JP"/>
        </w:rPr>
        <w:t>recommends</w:t>
      </w:r>
      <w:proofErr w:type="gramEnd"/>
    </w:p>
    <w:p w:rsidR="000E3A42" w:rsidRPr="004E7D68" w:rsidRDefault="000E3A42" w:rsidP="000E3A42">
      <w:pPr>
        <w:rPr>
          <w:rFonts w:eastAsia="Times New Roman"/>
          <w:lang w:val="en-US" w:eastAsia="ja-JP"/>
        </w:rPr>
      </w:pPr>
      <w:r w:rsidRPr="004E7D68">
        <w:rPr>
          <w:rFonts w:eastAsia="Times New Roman"/>
          <w:bCs/>
          <w:lang w:val="en-US" w:eastAsia="ja-JP"/>
        </w:rPr>
        <w:t>1</w:t>
      </w:r>
      <w:r w:rsidRPr="004E7D68">
        <w:rPr>
          <w:rFonts w:eastAsia="Times New Roman"/>
          <w:bCs/>
          <w:lang w:val="en-US" w:eastAsia="ja-JP"/>
        </w:rPr>
        <w:tab/>
      </w:r>
      <w:r w:rsidRPr="004E7D68">
        <w:rPr>
          <w:rFonts w:eastAsia="Times New Roman"/>
          <w:lang w:val="en-US" w:eastAsia="ja-JP"/>
        </w:rPr>
        <w:t xml:space="preserve">that administrations should consider as a guideline the use of the frequency range listed in the following table for the operation of </w:t>
      </w:r>
      <w:r w:rsidR="00E3664E">
        <w:rPr>
          <w:rFonts w:eastAsia="Times New Roman"/>
          <w:lang w:val="en-US" w:eastAsia="ja-JP"/>
        </w:rPr>
        <w:t xml:space="preserve">non-beam </w:t>
      </w:r>
      <w:r w:rsidRPr="004E7D68">
        <w:rPr>
          <w:rFonts w:eastAsia="Times New Roman"/>
          <w:lang w:val="en-US" w:eastAsia="ja-JP"/>
        </w:rPr>
        <w:t xml:space="preserve">WPT </w:t>
      </w:r>
      <w:r w:rsidR="00E3664E">
        <w:rPr>
          <w:rFonts w:eastAsia="Times New Roman"/>
          <w:lang w:val="en-US" w:eastAsia="ja-JP"/>
        </w:rPr>
        <w:t>systems</w:t>
      </w:r>
      <w:r w:rsidR="00E3664E" w:rsidRPr="004E7D68">
        <w:rPr>
          <w:rFonts w:eastAsia="Times New Roman"/>
          <w:lang w:val="en-US" w:eastAsia="ja-JP"/>
        </w:rPr>
        <w:t xml:space="preserve"> </w:t>
      </w:r>
      <w:r w:rsidRPr="004E7D68">
        <w:rPr>
          <w:rFonts w:eastAsia="Times New Roman"/>
          <w:lang w:val="en-US" w:eastAsia="ja-JP"/>
        </w:rPr>
        <w:t>and should take steps to ensure that radiocommunication services including the standard frequency and time signal service and the radio astronomy service are protected from WPT operations, including consideration of unwanted radio frequency energy (such as radiated electromagnetic disturbances) falling into all bands;</w:t>
      </w:r>
    </w:p>
    <w:p w:rsidR="000E3A42" w:rsidRPr="004E7D68" w:rsidRDefault="000E3A42" w:rsidP="000E3A42">
      <w:pPr>
        <w:keepNext/>
        <w:spacing w:before="560" w:after="120"/>
        <w:jc w:val="center"/>
        <w:rPr>
          <w:rFonts w:eastAsia="Times New Roman"/>
          <w:caps/>
          <w:szCs w:val="24"/>
          <w:lang w:val="en-US" w:eastAsia="ja-JP"/>
        </w:rPr>
      </w:pPr>
      <w:r w:rsidRPr="004E7D68">
        <w:rPr>
          <w:rFonts w:eastAsia="Times New Roman"/>
          <w:caps/>
          <w:szCs w:val="24"/>
          <w:lang w:val="en-US" w:eastAsia="ja-JP"/>
        </w:rPr>
        <w:lastRenderedPageBreak/>
        <w:t>Table 1</w:t>
      </w:r>
    </w:p>
    <w:p w:rsidR="000E3A42" w:rsidRPr="004E7D68" w:rsidRDefault="000E3A42" w:rsidP="000E3A42">
      <w:pPr>
        <w:keepNext/>
        <w:keepLines/>
        <w:spacing w:before="0" w:after="120"/>
        <w:jc w:val="center"/>
        <w:rPr>
          <w:rFonts w:ascii="Times New Roman Bold" w:eastAsia="Times New Roman" w:hAnsi="Times New Roman Bold"/>
          <w:b/>
          <w:szCs w:val="24"/>
          <w:lang w:val="en-US" w:eastAsia="ja-JP"/>
        </w:rPr>
      </w:pPr>
      <w:r w:rsidRPr="004E7D68">
        <w:rPr>
          <w:rFonts w:ascii="Times New Roman Bold" w:eastAsia="Times New Roman" w:hAnsi="Times New Roman Bold"/>
          <w:b/>
          <w:szCs w:val="24"/>
          <w:lang w:val="en-US" w:eastAsia="ja-JP"/>
        </w:rPr>
        <w:t xml:space="preserve">Frequency range for operation of </w:t>
      </w:r>
      <w:r w:rsidR="00915E0D">
        <w:rPr>
          <w:rFonts w:ascii="Times New Roman Bold" w:eastAsia="Times New Roman" w:hAnsi="Times New Roman Bold"/>
          <w:b/>
          <w:szCs w:val="24"/>
          <w:lang w:val="en-US" w:eastAsia="ja-JP"/>
        </w:rPr>
        <w:t xml:space="preserve">non-beam </w:t>
      </w:r>
      <w:r w:rsidRPr="004E7D68">
        <w:rPr>
          <w:rFonts w:ascii="Times New Roman Bold" w:eastAsia="Times New Roman" w:hAnsi="Times New Roman Bold"/>
          <w:b/>
          <w:szCs w:val="24"/>
          <w:lang w:val="en-US" w:eastAsia="ja-JP"/>
        </w:rPr>
        <w:t xml:space="preserve">WPT </w:t>
      </w:r>
      <w:r w:rsidR="00915E0D">
        <w:rPr>
          <w:rFonts w:ascii="Times New Roman Bold" w:eastAsia="Times New Roman" w:hAnsi="Times New Roman Bold"/>
          <w:b/>
          <w:szCs w:val="24"/>
          <w:lang w:val="en-US" w:eastAsia="ja-JP"/>
        </w:rPr>
        <w:t>systems</w:t>
      </w:r>
    </w:p>
    <w:tbl>
      <w:tblPr>
        <w:tblStyle w:val="TableGrid2"/>
        <w:tblW w:w="0" w:type="auto"/>
        <w:tblLook w:val="04A0" w:firstRow="1" w:lastRow="0" w:firstColumn="1" w:lastColumn="0" w:noHBand="0" w:noVBand="1"/>
      </w:tblPr>
      <w:tblGrid>
        <w:gridCol w:w="3144"/>
        <w:gridCol w:w="6161"/>
      </w:tblGrid>
      <w:tr w:rsidR="000E3A42" w:rsidRPr="009B7909" w:rsidTr="00915E0D">
        <w:tc>
          <w:tcPr>
            <w:tcW w:w="3144" w:type="dxa"/>
          </w:tcPr>
          <w:p w:rsidR="000E3A42" w:rsidRPr="004E7D68" w:rsidRDefault="000E3A42" w:rsidP="000E3A42">
            <w:pPr>
              <w:keepNext/>
              <w:spacing w:before="80" w:after="80"/>
              <w:jc w:val="center"/>
              <w:rPr>
                <w:rFonts w:ascii="Times New Roman Bold" w:hAnsi="Times New Roman Bold" w:cs="Times New Roman Bold" w:hint="eastAsia"/>
                <w:b/>
                <w:szCs w:val="24"/>
                <w:lang w:val="en-US" w:eastAsia="ja-JP"/>
              </w:rPr>
            </w:pPr>
            <w:r w:rsidRPr="004E7D68">
              <w:rPr>
                <w:rFonts w:ascii="Times New Roman Bold" w:hAnsi="Times New Roman Bold" w:cs="Times New Roman Bold"/>
                <w:b/>
                <w:szCs w:val="24"/>
                <w:lang w:val="en-US" w:eastAsia="ja-JP"/>
              </w:rPr>
              <w:t>Frequency range</w:t>
            </w:r>
          </w:p>
        </w:tc>
        <w:tc>
          <w:tcPr>
            <w:tcW w:w="6161" w:type="dxa"/>
          </w:tcPr>
          <w:p w:rsidR="000E3A42" w:rsidRPr="00A933AB" w:rsidRDefault="000E3A42" w:rsidP="000E3A42">
            <w:pPr>
              <w:keepNext/>
              <w:spacing w:before="80" w:after="80"/>
              <w:jc w:val="center"/>
              <w:rPr>
                <w:rFonts w:ascii="Times New Roman Bold" w:hAnsi="Times New Roman Bold" w:cs="Times New Roman Bold" w:hint="eastAsia"/>
                <w:b/>
                <w:szCs w:val="24"/>
                <w:lang w:val="fr-FR" w:eastAsia="ja-JP"/>
              </w:rPr>
            </w:pPr>
            <w:proofErr w:type="spellStart"/>
            <w:r w:rsidRPr="00A933AB">
              <w:rPr>
                <w:rFonts w:ascii="Times New Roman Bold" w:hAnsi="Times New Roman Bold" w:cs="Times New Roman Bold"/>
                <w:b/>
                <w:szCs w:val="24"/>
                <w:lang w:val="fr-FR" w:eastAsia="ja-JP"/>
              </w:rPr>
              <w:t>Suitable</w:t>
            </w:r>
            <w:proofErr w:type="spellEnd"/>
            <w:r w:rsidRPr="00A933AB">
              <w:rPr>
                <w:rFonts w:ascii="Times New Roman Bold" w:hAnsi="Times New Roman Bold" w:cs="Times New Roman Bold"/>
                <w:b/>
                <w:szCs w:val="24"/>
                <w:lang w:val="fr-FR" w:eastAsia="ja-JP"/>
              </w:rPr>
              <w:t xml:space="preserve"> </w:t>
            </w:r>
            <w:r w:rsidR="00915E0D" w:rsidRPr="00A933AB">
              <w:rPr>
                <w:rFonts w:ascii="Times New Roman Bold" w:hAnsi="Times New Roman Bold" w:cs="Times New Roman Bold"/>
                <w:b/>
                <w:szCs w:val="24"/>
                <w:lang w:val="fr-FR" w:eastAsia="ja-JP"/>
              </w:rPr>
              <w:t>non-</w:t>
            </w:r>
            <w:proofErr w:type="spellStart"/>
            <w:r w:rsidR="00915E0D" w:rsidRPr="00A933AB">
              <w:rPr>
                <w:rFonts w:ascii="Times New Roman Bold" w:hAnsi="Times New Roman Bold" w:cs="Times New Roman Bold"/>
                <w:b/>
                <w:szCs w:val="24"/>
                <w:lang w:val="fr-FR" w:eastAsia="ja-JP"/>
              </w:rPr>
              <w:t>beam</w:t>
            </w:r>
            <w:proofErr w:type="spellEnd"/>
            <w:r w:rsidR="00915E0D" w:rsidRPr="00A933AB">
              <w:rPr>
                <w:rFonts w:ascii="Times New Roman Bold" w:hAnsi="Times New Roman Bold" w:cs="Times New Roman Bold"/>
                <w:b/>
                <w:szCs w:val="24"/>
                <w:lang w:val="fr-FR" w:eastAsia="ja-JP"/>
              </w:rPr>
              <w:t xml:space="preserve"> </w:t>
            </w:r>
            <w:r w:rsidRPr="00A933AB">
              <w:rPr>
                <w:rFonts w:ascii="Times New Roman Bold" w:hAnsi="Times New Roman Bold" w:cs="Times New Roman Bold"/>
                <w:b/>
                <w:szCs w:val="24"/>
                <w:lang w:val="fr-FR" w:eastAsia="ja-JP"/>
              </w:rPr>
              <w:t>WPT technologies and applications</w:t>
            </w:r>
          </w:p>
        </w:tc>
      </w:tr>
      <w:tr w:rsidR="000E3A42" w:rsidRPr="004E7D68" w:rsidTr="00915E0D">
        <w:tc>
          <w:tcPr>
            <w:tcW w:w="3144" w:type="dxa"/>
          </w:tcPr>
          <w:p w:rsidR="000E3A42" w:rsidRPr="004E7D68" w:rsidRDefault="000E3A42" w:rsidP="000E3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lang w:val="en-US" w:eastAsia="ja-JP"/>
              </w:rPr>
            </w:pPr>
            <w:r w:rsidRPr="004E7D68">
              <w:rPr>
                <w:szCs w:val="24"/>
                <w:lang w:val="en-US" w:eastAsia="ja-JP"/>
              </w:rPr>
              <w:t>6</w:t>
            </w:r>
            <w:r w:rsidR="00C02773">
              <w:rPr>
                <w:szCs w:val="24"/>
                <w:lang w:val="en-US" w:eastAsia="ja-JP"/>
              </w:rPr>
              <w:t xml:space="preserve"> </w:t>
            </w:r>
            <w:r w:rsidRPr="004E7D68">
              <w:rPr>
                <w:szCs w:val="24"/>
                <w:lang w:val="en-US" w:eastAsia="ja-JP"/>
              </w:rPr>
              <w:t>765</w:t>
            </w:r>
            <w:r w:rsidRPr="004E7D68">
              <w:rPr>
                <w:szCs w:val="24"/>
                <w:lang w:val="en-US" w:eastAsia="ja-JP"/>
              </w:rPr>
              <w:noBreakHyphen/>
              <w:t>6</w:t>
            </w:r>
            <w:r w:rsidR="00C02773">
              <w:rPr>
                <w:szCs w:val="24"/>
                <w:lang w:val="en-US" w:eastAsia="ja-JP"/>
              </w:rPr>
              <w:t xml:space="preserve"> </w:t>
            </w:r>
            <w:r w:rsidRPr="004E7D68">
              <w:rPr>
                <w:szCs w:val="24"/>
                <w:lang w:val="en-US" w:eastAsia="ja-JP"/>
              </w:rPr>
              <w:t>795 kHz</w:t>
            </w:r>
            <w:r w:rsidRPr="004E7D68">
              <w:rPr>
                <w:szCs w:val="24"/>
                <w:lang w:val="en-US" w:eastAsia="ja-JP"/>
              </w:rPr>
              <w:br/>
              <w:t xml:space="preserve">Note: See RR No. </w:t>
            </w:r>
            <w:r w:rsidRPr="004E7D68">
              <w:rPr>
                <w:b/>
                <w:bCs/>
                <w:szCs w:val="24"/>
                <w:lang w:val="en-US" w:eastAsia="ja-JP"/>
              </w:rPr>
              <w:t>5.138</w:t>
            </w:r>
          </w:p>
        </w:tc>
        <w:tc>
          <w:tcPr>
            <w:tcW w:w="6161" w:type="dxa"/>
          </w:tcPr>
          <w:p w:rsidR="000E3A42" w:rsidRPr="004E7D68" w:rsidRDefault="000E3A42" w:rsidP="000E3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Cs w:val="24"/>
                <w:lang w:val="en-US" w:eastAsia="ja-JP"/>
              </w:rPr>
            </w:pPr>
            <w:r w:rsidRPr="004E7D68">
              <w:rPr>
                <w:szCs w:val="24"/>
                <w:lang w:val="en-US" w:eastAsia="ja-JP"/>
              </w:rPr>
              <w:t>Magnetic resonant technology for mobile devices</w:t>
            </w:r>
          </w:p>
        </w:tc>
      </w:tr>
    </w:tbl>
    <w:p w:rsidR="00915E0D" w:rsidRPr="00915E0D" w:rsidRDefault="00915E0D" w:rsidP="00915E0D">
      <w:pPr>
        <w:spacing w:before="0"/>
        <w:rPr>
          <w:rFonts w:eastAsia="Times New Roman"/>
          <w:sz w:val="20"/>
          <w:lang w:val="en-US" w:eastAsia="ja-JP"/>
        </w:rPr>
      </w:pPr>
    </w:p>
    <w:p w:rsidR="000E3A42" w:rsidRPr="004E7D68" w:rsidRDefault="00915E0D" w:rsidP="00915E0D">
      <w:pPr>
        <w:spacing w:before="0"/>
        <w:rPr>
          <w:rFonts w:eastAsia="Times New Roman"/>
          <w:sz w:val="20"/>
          <w:lang w:val="en-US" w:eastAsia="ja-JP"/>
        </w:rPr>
      </w:pPr>
      <w:r w:rsidRPr="00915E0D">
        <w:rPr>
          <w:rFonts w:eastAsia="Times New Roman"/>
          <w:sz w:val="20"/>
          <w:lang w:val="en-US" w:eastAsia="ja-JP"/>
        </w:rPr>
        <w:t xml:space="preserve">Note: This table lists only one frequency range since no global harmonization for other frequency ranges could be reached at the moment of publication. This does not mean that the mentioned frequency range is the most suitable or the only available range for WPT. </w:t>
      </w:r>
    </w:p>
    <w:p w:rsidR="000E3A42" w:rsidRPr="004E7D68" w:rsidRDefault="000E3A42" w:rsidP="00417547">
      <w:pPr>
        <w:spacing w:before="160"/>
        <w:rPr>
          <w:rFonts w:eastAsia="Times New Roman"/>
          <w:b/>
          <w:sz w:val="22"/>
          <w:szCs w:val="22"/>
          <w:highlight w:val="yellow"/>
          <w:lang w:val="en-US" w:eastAsia="ja-JP"/>
        </w:rPr>
      </w:pPr>
    </w:p>
    <w:p w:rsidR="000E3A42" w:rsidRPr="004E7D68" w:rsidRDefault="000E3A42" w:rsidP="00417547">
      <w:pPr>
        <w:spacing w:before="160"/>
        <w:rPr>
          <w:rFonts w:eastAsia="Times New Roman"/>
          <w:b/>
          <w:sz w:val="22"/>
          <w:szCs w:val="22"/>
          <w:highlight w:val="yellow"/>
          <w:lang w:val="en-US" w:eastAsia="ja-JP"/>
        </w:rPr>
      </w:pPr>
    </w:p>
    <w:p w:rsidR="00417547" w:rsidRPr="004E7D68" w:rsidRDefault="00417547" w:rsidP="00417547">
      <w:pPr>
        <w:jc w:val="center"/>
        <w:rPr>
          <w:rFonts w:eastAsia="Times New Roman"/>
          <w:i/>
          <w:lang w:val="en-US" w:eastAsia="ja-JP"/>
        </w:rPr>
      </w:pPr>
      <w:r w:rsidRPr="004E7D68">
        <w:rPr>
          <w:rFonts w:eastAsia="Times New Roman"/>
          <w:lang w:val="en-US" w:eastAsia="ja-JP"/>
        </w:rPr>
        <w:t>_______</w:t>
      </w:r>
      <w:r w:rsidRPr="004E7D68">
        <w:rPr>
          <w:rFonts w:eastAsia="Times New Roman"/>
          <w:i/>
          <w:lang w:val="en-US" w:eastAsia="ja-JP"/>
        </w:rPr>
        <w:t>_______</w:t>
      </w:r>
    </w:p>
    <w:p w:rsidR="002F4445" w:rsidRPr="00BA0BD7" w:rsidRDefault="002F4445" w:rsidP="00131036">
      <w:pPr>
        <w:jc w:val="both"/>
        <w:rPr>
          <w:rFonts w:eastAsia="Times New Roman"/>
          <w:i/>
          <w:lang w:val="en-US" w:eastAsia="ja-JP"/>
        </w:rPr>
      </w:pPr>
    </w:p>
    <w:sectPr w:rsidR="002F4445" w:rsidRPr="00BA0BD7" w:rsidSect="00A569C9">
      <w:footerReference w:type="default" r:id="rId19"/>
      <w:footerReference w:type="first" r:id="rId20"/>
      <w:pgSz w:w="11907" w:h="16834" w:code="9"/>
      <w:pgMar w:top="1195" w:right="1152" w:bottom="1138"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27" w:rsidRDefault="008D1927">
      <w:r>
        <w:separator/>
      </w:r>
    </w:p>
  </w:endnote>
  <w:endnote w:type="continuationSeparator" w:id="0">
    <w:p w:rsidR="008D1927" w:rsidRDefault="008D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GulimChe">
    <w:altName w:val="Arial Unicode MS"/>
    <w:panose1 w:val="020B0609000101010101"/>
    <w:charset w:val="81"/>
    <w:family w:val="modern"/>
    <w:pitch w:val="fixed"/>
    <w:sig w:usb0="00000000"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Malgun Gothic Semilight"/>
    <w:panose1 w:val="02030609000101010101"/>
    <w:charset w:val="81"/>
    <w:family w:val="modern"/>
    <w:pitch w:val="fixed"/>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68" w:rsidRPr="00C828EA" w:rsidRDefault="00E3664E" w:rsidP="00C11F21">
    <w:pPr>
      <w:pStyle w:val="Footer"/>
      <w:rPr>
        <w:sz w:val="24"/>
      </w:rPr>
    </w:pPr>
    <w:r w:rsidRPr="00C828EA">
      <w:rPr>
        <w:caps w:val="0"/>
        <w:noProof w:val="0"/>
        <w:sz w:val="24"/>
      </w:rPr>
      <w:ptab w:relativeTo="margin" w:alignment="center" w:leader="none"/>
    </w:r>
    <w:r w:rsidRPr="00C828EA">
      <w:rPr>
        <w:caps w:val="0"/>
        <w:noProof w:val="0"/>
        <w:sz w:val="24"/>
      </w:rPr>
      <w:ptab w:relativeTo="margin" w:alignment="right" w:leader="none"/>
    </w:r>
    <w:r>
      <w:rPr>
        <w:rFonts w:hint="eastAsia"/>
        <w:caps w:val="0"/>
        <w:noProof w:val="0"/>
        <w:sz w:val="24"/>
        <w:lang w:eastAsia="ja-JP"/>
      </w:rPr>
      <w:t>Page</w:t>
    </w:r>
    <w:r w:rsidRPr="00C828EA">
      <w:rPr>
        <w:sz w:val="24"/>
      </w:rPr>
      <w:t xml:space="preserve"> </w:t>
    </w:r>
    <w:r w:rsidR="004E7D68" w:rsidRPr="00C828EA">
      <w:rPr>
        <w:noProof w:val="0"/>
        <w:sz w:val="24"/>
      </w:rPr>
      <w:fldChar w:fldCharType="begin"/>
    </w:r>
    <w:r w:rsidR="004E7D68" w:rsidRPr="00C828EA">
      <w:rPr>
        <w:sz w:val="24"/>
      </w:rPr>
      <w:instrText xml:space="preserve"> PAGE </w:instrText>
    </w:r>
    <w:r w:rsidR="004E7D68" w:rsidRPr="00C828EA">
      <w:rPr>
        <w:noProof w:val="0"/>
        <w:sz w:val="24"/>
      </w:rPr>
      <w:fldChar w:fldCharType="separate"/>
    </w:r>
    <w:r w:rsidR="003B5314">
      <w:rPr>
        <w:sz w:val="24"/>
      </w:rPr>
      <w:t>4</w:t>
    </w:r>
    <w:r w:rsidR="004E7D68" w:rsidRPr="00C828EA">
      <w:rPr>
        <w:sz w:val="24"/>
      </w:rPr>
      <w:fldChar w:fldCharType="end"/>
    </w:r>
    <w:r w:rsidR="004E7D68" w:rsidRPr="00C828EA">
      <w:rPr>
        <w:sz w:val="24"/>
      </w:rPr>
      <w:t xml:space="preserve"> </w:t>
    </w:r>
    <w:r w:rsidR="004E7D68">
      <w:rPr>
        <w:rFonts w:hint="eastAsia"/>
        <w:caps w:val="0"/>
        <w:noProof w:val="0"/>
        <w:sz w:val="24"/>
        <w:lang w:eastAsia="ja-JP"/>
      </w:rPr>
      <w:t>of</w:t>
    </w:r>
    <w:r w:rsidR="004E7D68" w:rsidRPr="00C828EA">
      <w:rPr>
        <w:sz w:val="24"/>
      </w:rPr>
      <w:t xml:space="preserve"> </w:t>
    </w:r>
    <w:r w:rsidR="004E7D68" w:rsidRPr="00C828EA">
      <w:rPr>
        <w:noProof w:val="0"/>
        <w:sz w:val="24"/>
      </w:rPr>
      <w:fldChar w:fldCharType="begin"/>
    </w:r>
    <w:r w:rsidR="004E7D68" w:rsidRPr="00C828EA">
      <w:rPr>
        <w:sz w:val="24"/>
      </w:rPr>
      <w:instrText xml:space="preserve"> NUMPAGES  </w:instrText>
    </w:r>
    <w:r w:rsidR="004E7D68" w:rsidRPr="00C828EA">
      <w:rPr>
        <w:noProof w:val="0"/>
        <w:sz w:val="24"/>
      </w:rPr>
      <w:fldChar w:fldCharType="separate"/>
    </w:r>
    <w:r w:rsidR="003B5314">
      <w:rPr>
        <w:sz w:val="24"/>
      </w:rPr>
      <w:t>4</w:t>
    </w:r>
    <w:r w:rsidR="004E7D68" w:rsidRPr="00C828EA">
      <w:rPr>
        <w:sz w:val="24"/>
      </w:rPr>
      <w:fldChar w:fldCharType="end"/>
    </w:r>
    <w:sdt>
      <w:sdtPr>
        <w:rPr>
          <w:sz w:val="24"/>
        </w:rPr>
        <w:id w:val="944882642"/>
        <w:docPartObj>
          <w:docPartGallery w:val="Page Numbers (Top of Page)"/>
          <w:docPartUnique/>
        </w:docPartObj>
      </w:sdt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2" w:type="dxa"/>
      <w:jc w:val="center"/>
      <w:tblLayout w:type="fixed"/>
      <w:tblCellMar>
        <w:left w:w="57" w:type="dxa"/>
        <w:right w:w="57" w:type="dxa"/>
      </w:tblCellMar>
      <w:tblLook w:val="0000" w:firstRow="0" w:lastRow="0" w:firstColumn="0" w:lastColumn="0" w:noHBand="0" w:noVBand="0"/>
    </w:tblPr>
    <w:tblGrid>
      <w:gridCol w:w="1616"/>
      <w:gridCol w:w="4394"/>
      <w:gridCol w:w="3912"/>
    </w:tblGrid>
    <w:tr w:rsidR="00C92EE8" w:rsidRPr="00C44ED4" w:rsidTr="00C92EE8">
      <w:trPr>
        <w:cantSplit/>
        <w:trHeight w:val="850"/>
        <w:jc w:val="center"/>
      </w:trPr>
      <w:tc>
        <w:tcPr>
          <w:tcW w:w="1616" w:type="dxa"/>
          <w:tcBorders>
            <w:top w:val="single" w:sz="12" w:space="0" w:color="auto"/>
          </w:tcBorders>
        </w:tcPr>
        <w:p w:rsidR="004E7D68" w:rsidRPr="00C92EE8" w:rsidRDefault="004E7D68" w:rsidP="00164D43">
          <w:pPr>
            <w:spacing w:before="0"/>
            <w:rPr>
              <w:b/>
              <w:szCs w:val="24"/>
            </w:rPr>
          </w:pPr>
        </w:p>
      </w:tc>
      <w:tc>
        <w:tcPr>
          <w:tcW w:w="4394" w:type="dxa"/>
          <w:tcBorders>
            <w:top w:val="single" w:sz="12" w:space="0" w:color="auto"/>
          </w:tcBorders>
        </w:tcPr>
        <w:p w:rsidR="004E7D68" w:rsidRPr="006508F7" w:rsidRDefault="004E7D68" w:rsidP="00C92EE8">
          <w:pPr>
            <w:pStyle w:val="Equation"/>
            <w:tabs>
              <w:tab w:val="clear" w:pos="4820"/>
              <w:tab w:val="clear" w:pos="9639"/>
              <w:tab w:val="left" w:pos="1191"/>
              <w:tab w:val="left" w:pos="1588"/>
              <w:tab w:val="left" w:pos="1985"/>
            </w:tabs>
            <w:spacing w:before="0"/>
            <w:rPr>
              <w:rFonts w:eastAsia="Batang"/>
              <w:szCs w:val="24"/>
            </w:rPr>
          </w:pPr>
        </w:p>
      </w:tc>
      <w:tc>
        <w:tcPr>
          <w:tcW w:w="3912" w:type="dxa"/>
          <w:tcBorders>
            <w:top w:val="single" w:sz="12" w:space="0" w:color="auto"/>
          </w:tcBorders>
        </w:tcPr>
        <w:p w:rsidR="004E7D68" w:rsidRPr="006508F7" w:rsidRDefault="004E7D68" w:rsidP="00BA0BD7">
          <w:pPr>
            <w:spacing w:before="0"/>
            <w:rPr>
              <w:szCs w:val="24"/>
              <w:lang w:eastAsia="ja-JP"/>
            </w:rPr>
          </w:pPr>
        </w:p>
      </w:tc>
    </w:tr>
  </w:tbl>
  <w:p w:rsidR="004E7D68" w:rsidRDefault="004E7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27" w:rsidRDefault="008D1927">
      <w:r>
        <w:t>____________________</w:t>
      </w:r>
    </w:p>
  </w:footnote>
  <w:footnote w:type="continuationSeparator" w:id="0">
    <w:p w:rsidR="008D1927" w:rsidRDefault="008D1927">
      <w:r>
        <w:continuationSeparator/>
      </w:r>
    </w:p>
  </w:footnote>
  <w:footnote w:id="1">
    <w:p w:rsidR="00915E0D" w:rsidRDefault="00915E0D">
      <w:pPr>
        <w:pStyle w:val="FootnoteText"/>
        <w:rPr>
          <w:lang w:eastAsia="ja-JP"/>
        </w:rPr>
      </w:pPr>
      <w:r>
        <w:rPr>
          <w:rStyle w:val="FootnoteReference"/>
        </w:rPr>
        <w:footnoteRef/>
      </w:r>
      <w:r>
        <w:t xml:space="preserve"> </w:t>
      </w:r>
      <w:r w:rsidRPr="00915E0D">
        <w:t>The global harmonization of frequencies for WPT for electric vehicles will be addressed under WRC-19 agenda item 9.1, issue 9.1.6 (i.e., Item 1 in the Annex to Resolution 958 (WRC-15)).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0EC6"/>
    <w:multiLevelType w:val="hybridMultilevel"/>
    <w:tmpl w:val="F2C063FA"/>
    <w:lvl w:ilvl="0" w:tplc="4BECF660">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F78AA"/>
    <w:multiLevelType w:val="hybridMultilevel"/>
    <w:tmpl w:val="EC4A5406"/>
    <w:lvl w:ilvl="0" w:tplc="6B5639E2">
      <w:start w:val="1"/>
      <w:numFmt w:val="bullet"/>
      <w:lvlText w:val="-"/>
      <w:lvlJc w:val="left"/>
      <w:pPr>
        <w:ind w:left="420" w:hanging="420"/>
      </w:pPr>
      <w:rPr>
        <w:rFonts w:ascii="MS Gothic" w:eastAsia="MS Gothic" w:hAnsi="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4E5BC6"/>
    <w:multiLevelType w:val="multilevel"/>
    <w:tmpl w:val="EB98B28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7350AB"/>
    <w:multiLevelType w:val="hybridMultilevel"/>
    <w:tmpl w:val="E1DC4ED4"/>
    <w:lvl w:ilvl="0" w:tplc="4BECF660">
      <w:numFmt w:val="bullet"/>
      <w:lvlText w:val="•"/>
      <w:lvlJc w:val="left"/>
      <w:pPr>
        <w:tabs>
          <w:tab w:val="num" w:pos="2520"/>
        </w:tabs>
        <w:ind w:left="252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07805"/>
    <w:multiLevelType w:val="hybridMultilevel"/>
    <w:tmpl w:val="663A1DDA"/>
    <w:lvl w:ilvl="0" w:tplc="FBAA42F6">
      <w:start w:val="1"/>
      <w:numFmt w:val="bullet"/>
      <w:lvlText w:val="-"/>
      <w:lvlJc w:val="left"/>
      <w:pPr>
        <w:ind w:left="1440" w:hanging="360"/>
      </w:pPr>
      <w:rPr>
        <w:rFonts w:ascii="Times New Roman" w:eastAsia="Batang"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A22DCB"/>
    <w:multiLevelType w:val="hybridMultilevel"/>
    <w:tmpl w:val="48C8788A"/>
    <w:lvl w:ilvl="0" w:tplc="3B20BA8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3878B9"/>
    <w:multiLevelType w:val="hybridMultilevel"/>
    <w:tmpl w:val="A770148C"/>
    <w:lvl w:ilvl="0" w:tplc="2FE852B2">
      <w:numFmt w:val="bullet"/>
      <w:lvlText w:val="•"/>
      <w:lvlJc w:val="left"/>
      <w:pPr>
        <w:ind w:left="1520" w:hanging="400"/>
      </w:pPr>
      <w:rPr>
        <w:rFonts w:ascii="Batang" w:eastAsia="Batang" w:hAnsi="Batang" w:cs="Courier New" w:hint="eastAsia"/>
      </w:rPr>
    </w:lvl>
    <w:lvl w:ilvl="1" w:tplc="04090003">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10A41C9A"/>
    <w:multiLevelType w:val="hybridMultilevel"/>
    <w:tmpl w:val="CE9A6C8A"/>
    <w:lvl w:ilvl="0" w:tplc="2FE852B2">
      <w:numFmt w:val="bullet"/>
      <w:lvlText w:val="•"/>
      <w:lvlJc w:val="left"/>
      <w:pPr>
        <w:ind w:left="1520" w:hanging="400"/>
      </w:pPr>
      <w:rPr>
        <w:rFonts w:ascii="Batang" w:eastAsia="Batang" w:hAnsi="Batang" w:cs="Courier New" w:hint="eastAsia"/>
      </w:rPr>
    </w:lvl>
    <w:lvl w:ilvl="1" w:tplc="F9A258F0">
      <w:start w:val="1"/>
      <w:numFmt w:val="bullet"/>
      <w:lvlText w:val="-"/>
      <w:lvlJc w:val="left"/>
      <w:pPr>
        <w:ind w:left="1920" w:hanging="400"/>
      </w:pPr>
      <w:rPr>
        <w:rFonts w:ascii="Times New Roman" w:hAnsi="Times New Roman" w:cs="Times New Roman"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11341958"/>
    <w:multiLevelType w:val="hybridMultilevel"/>
    <w:tmpl w:val="E5CC448E"/>
    <w:lvl w:ilvl="0" w:tplc="641C23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84AB7"/>
    <w:multiLevelType w:val="hybridMultilevel"/>
    <w:tmpl w:val="752A5F98"/>
    <w:lvl w:ilvl="0" w:tplc="A3B4A362">
      <w:numFmt w:val="bullet"/>
      <w:lvlText w:val="–"/>
      <w:lvlJc w:val="left"/>
      <w:pPr>
        <w:ind w:left="1500" w:hanging="114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323ED"/>
    <w:multiLevelType w:val="hybridMultilevel"/>
    <w:tmpl w:val="0660D01E"/>
    <w:lvl w:ilvl="0" w:tplc="FFFFFFFF">
      <w:start w:val="4"/>
      <w:numFmt w:val="bullet"/>
      <w:lvlText w:val="-"/>
      <w:lvlJc w:val="left"/>
      <w:pPr>
        <w:ind w:left="1440" w:hanging="360"/>
      </w:pPr>
      <w:rPr>
        <w:rFonts w:ascii="Times New Roman" w:eastAsia="Batang"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1D486F"/>
    <w:multiLevelType w:val="hybridMultilevel"/>
    <w:tmpl w:val="06E619F6"/>
    <w:lvl w:ilvl="0" w:tplc="509C085E">
      <w:start w:val="1"/>
      <w:numFmt w:val="bullet"/>
      <w:lvlText w:val="–"/>
      <w:lvlJc w:val="left"/>
      <w:pPr>
        <w:tabs>
          <w:tab w:val="num" w:pos="720"/>
        </w:tabs>
        <w:ind w:left="720" w:hanging="360"/>
      </w:pPr>
      <w:rPr>
        <w:rFonts w:ascii="Arial" w:hAnsi="Arial" w:hint="default"/>
      </w:rPr>
    </w:lvl>
    <w:lvl w:ilvl="1" w:tplc="6E0C5C82">
      <w:start w:val="1"/>
      <w:numFmt w:val="bullet"/>
      <w:lvlText w:val="–"/>
      <w:lvlJc w:val="left"/>
      <w:pPr>
        <w:tabs>
          <w:tab w:val="num" w:pos="1440"/>
        </w:tabs>
        <w:ind w:left="1440" w:hanging="360"/>
      </w:pPr>
      <w:rPr>
        <w:rFonts w:ascii="Arial" w:hAnsi="Arial" w:hint="default"/>
      </w:rPr>
    </w:lvl>
    <w:lvl w:ilvl="2" w:tplc="52F05242" w:tentative="1">
      <w:start w:val="1"/>
      <w:numFmt w:val="bullet"/>
      <w:lvlText w:val="–"/>
      <w:lvlJc w:val="left"/>
      <w:pPr>
        <w:tabs>
          <w:tab w:val="num" w:pos="2160"/>
        </w:tabs>
        <w:ind w:left="2160" w:hanging="360"/>
      </w:pPr>
      <w:rPr>
        <w:rFonts w:ascii="Arial" w:hAnsi="Arial" w:hint="default"/>
      </w:rPr>
    </w:lvl>
    <w:lvl w:ilvl="3" w:tplc="206C2352" w:tentative="1">
      <w:start w:val="1"/>
      <w:numFmt w:val="bullet"/>
      <w:lvlText w:val="–"/>
      <w:lvlJc w:val="left"/>
      <w:pPr>
        <w:tabs>
          <w:tab w:val="num" w:pos="2880"/>
        </w:tabs>
        <w:ind w:left="2880" w:hanging="360"/>
      </w:pPr>
      <w:rPr>
        <w:rFonts w:ascii="Arial" w:hAnsi="Arial" w:hint="default"/>
      </w:rPr>
    </w:lvl>
    <w:lvl w:ilvl="4" w:tplc="8B50E94A" w:tentative="1">
      <w:start w:val="1"/>
      <w:numFmt w:val="bullet"/>
      <w:lvlText w:val="–"/>
      <w:lvlJc w:val="left"/>
      <w:pPr>
        <w:tabs>
          <w:tab w:val="num" w:pos="3600"/>
        </w:tabs>
        <w:ind w:left="3600" w:hanging="360"/>
      </w:pPr>
      <w:rPr>
        <w:rFonts w:ascii="Arial" w:hAnsi="Arial" w:hint="default"/>
      </w:rPr>
    </w:lvl>
    <w:lvl w:ilvl="5" w:tplc="7990111E" w:tentative="1">
      <w:start w:val="1"/>
      <w:numFmt w:val="bullet"/>
      <w:lvlText w:val="–"/>
      <w:lvlJc w:val="left"/>
      <w:pPr>
        <w:tabs>
          <w:tab w:val="num" w:pos="4320"/>
        </w:tabs>
        <w:ind w:left="4320" w:hanging="360"/>
      </w:pPr>
      <w:rPr>
        <w:rFonts w:ascii="Arial" w:hAnsi="Arial" w:hint="default"/>
      </w:rPr>
    </w:lvl>
    <w:lvl w:ilvl="6" w:tplc="E9DA0ACC" w:tentative="1">
      <w:start w:val="1"/>
      <w:numFmt w:val="bullet"/>
      <w:lvlText w:val="–"/>
      <w:lvlJc w:val="left"/>
      <w:pPr>
        <w:tabs>
          <w:tab w:val="num" w:pos="5040"/>
        </w:tabs>
        <w:ind w:left="5040" w:hanging="360"/>
      </w:pPr>
      <w:rPr>
        <w:rFonts w:ascii="Arial" w:hAnsi="Arial" w:hint="default"/>
      </w:rPr>
    </w:lvl>
    <w:lvl w:ilvl="7" w:tplc="8782E852" w:tentative="1">
      <w:start w:val="1"/>
      <w:numFmt w:val="bullet"/>
      <w:lvlText w:val="–"/>
      <w:lvlJc w:val="left"/>
      <w:pPr>
        <w:tabs>
          <w:tab w:val="num" w:pos="5760"/>
        </w:tabs>
        <w:ind w:left="5760" w:hanging="360"/>
      </w:pPr>
      <w:rPr>
        <w:rFonts w:ascii="Arial" w:hAnsi="Arial" w:hint="default"/>
      </w:rPr>
    </w:lvl>
    <w:lvl w:ilvl="8" w:tplc="1F681D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D6CD1"/>
    <w:multiLevelType w:val="hybridMultilevel"/>
    <w:tmpl w:val="A448F9D8"/>
    <w:lvl w:ilvl="0" w:tplc="2FE852B2">
      <w:numFmt w:val="bullet"/>
      <w:lvlText w:val="•"/>
      <w:lvlJc w:val="left"/>
      <w:pPr>
        <w:ind w:left="1520" w:hanging="400"/>
      </w:pPr>
      <w:rPr>
        <w:rFonts w:ascii="Batang" w:eastAsia="Batang" w:hAnsi="Batang" w:cs="Courier New" w:hint="eastAsia"/>
      </w:rPr>
    </w:lvl>
    <w:lvl w:ilvl="1" w:tplc="F9A258F0">
      <w:start w:val="1"/>
      <w:numFmt w:val="bullet"/>
      <w:lvlText w:val="-"/>
      <w:lvlJc w:val="left"/>
      <w:pPr>
        <w:ind w:left="1920" w:hanging="400"/>
      </w:pPr>
      <w:rPr>
        <w:rFonts w:ascii="Times New Roman" w:hAnsi="Times New Roman" w:cs="Times New Roman"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3" w15:restartNumberingAfterBreak="0">
    <w:nsid w:val="2944512A"/>
    <w:multiLevelType w:val="hybridMultilevel"/>
    <w:tmpl w:val="DDB0254C"/>
    <w:lvl w:ilvl="0" w:tplc="2FE852B2">
      <w:numFmt w:val="bullet"/>
      <w:lvlText w:val="•"/>
      <w:lvlJc w:val="left"/>
      <w:pPr>
        <w:ind w:left="1520" w:hanging="400"/>
      </w:pPr>
      <w:rPr>
        <w:rFonts w:ascii="Batang" w:eastAsia="Batang" w:hAnsi="Batang" w:cs="Courier New" w:hint="eastAsia"/>
      </w:rPr>
    </w:lvl>
    <w:lvl w:ilvl="1" w:tplc="F9A258F0">
      <w:start w:val="1"/>
      <w:numFmt w:val="bullet"/>
      <w:lvlText w:val="-"/>
      <w:lvlJc w:val="left"/>
      <w:pPr>
        <w:ind w:left="1920" w:hanging="400"/>
      </w:pPr>
      <w:rPr>
        <w:rFonts w:ascii="Times New Roman" w:hAnsi="Times New Roman" w:cs="Times New Roman"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4" w15:restartNumberingAfterBreak="0">
    <w:nsid w:val="29CF30CA"/>
    <w:multiLevelType w:val="hybridMultilevel"/>
    <w:tmpl w:val="07E093D2"/>
    <w:lvl w:ilvl="0" w:tplc="4BECF660">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183F04"/>
    <w:multiLevelType w:val="hybridMultilevel"/>
    <w:tmpl w:val="61125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61725"/>
    <w:multiLevelType w:val="hybridMultilevel"/>
    <w:tmpl w:val="9D5C6D62"/>
    <w:lvl w:ilvl="0" w:tplc="F68872BA">
      <w:start w:val="1"/>
      <w:numFmt w:val="decimal"/>
      <w:lvlText w:val="ANNEX %1."/>
      <w:lvlJc w:val="left"/>
      <w:pPr>
        <w:ind w:left="720" w:hanging="360"/>
      </w:pPr>
      <w:rPr>
        <w:rFonts w:hint="default"/>
      </w:rPr>
    </w:lvl>
    <w:lvl w:ilvl="1" w:tplc="04090019">
      <w:start w:val="1"/>
      <w:numFmt w:val="lowerLetter"/>
      <w:lvlText w:val="%2."/>
      <w:lvlJc w:val="left"/>
      <w:pPr>
        <w:ind w:left="1440" w:hanging="360"/>
      </w:pPr>
    </w:lvl>
    <w:lvl w:ilvl="2" w:tplc="B448B56C">
      <w:start w:val="1"/>
      <w:numFmt w:val="decimal"/>
      <w:lvlText w:val="%3."/>
      <w:lvlJc w:val="left"/>
      <w:pPr>
        <w:ind w:left="3120" w:hanging="11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27AA0"/>
    <w:multiLevelType w:val="hybridMultilevel"/>
    <w:tmpl w:val="27CE4F66"/>
    <w:lvl w:ilvl="0" w:tplc="6B5639E2">
      <w:start w:val="1"/>
      <w:numFmt w:val="bullet"/>
      <w:lvlText w:val="-"/>
      <w:lvlJc w:val="left"/>
      <w:pPr>
        <w:ind w:left="420" w:hanging="420"/>
      </w:pPr>
      <w:rPr>
        <w:rFonts w:ascii="MS Gothic" w:eastAsia="MS Gothic" w:hAnsi="MS Gothic"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4A48F1"/>
    <w:multiLevelType w:val="hybridMultilevel"/>
    <w:tmpl w:val="FAD8CAA8"/>
    <w:lvl w:ilvl="0" w:tplc="722A45E8">
      <w:start w:val="2"/>
      <w:numFmt w:val="bullet"/>
      <w:lvlText w:val="-"/>
      <w:lvlJc w:val="left"/>
      <w:pPr>
        <w:ind w:left="720" w:hanging="360"/>
      </w:pPr>
      <w:rPr>
        <w:rFonts w:ascii="Times New Roman" w:eastAsia="GulimChe"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76B81"/>
    <w:multiLevelType w:val="hybridMultilevel"/>
    <w:tmpl w:val="E104E880"/>
    <w:lvl w:ilvl="0" w:tplc="C99C17F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44D51"/>
    <w:multiLevelType w:val="multilevel"/>
    <w:tmpl w:val="6B04180C"/>
    <w:lvl w:ilvl="0">
      <w:start w:val="1"/>
      <w:numFmt w:val="decimal"/>
      <w:lvlText w:val="%1."/>
      <w:lvlJc w:val="left"/>
      <w:pPr>
        <w:ind w:left="644" w:hanging="360"/>
      </w:p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8DE407E"/>
    <w:multiLevelType w:val="hybridMultilevel"/>
    <w:tmpl w:val="ABBE4A04"/>
    <w:lvl w:ilvl="0" w:tplc="2FE852B2">
      <w:numFmt w:val="bullet"/>
      <w:lvlText w:val="•"/>
      <w:lvlJc w:val="left"/>
      <w:pPr>
        <w:ind w:left="1520" w:hanging="400"/>
      </w:pPr>
      <w:rPr>
        <w:rFonts w:ascii="Batang" w:eastAsia="Batang" w:hAnsi="Batang" w:cs="Courier New" w:hint="eastAsia"/>
      </w:rPr>
    </w:lvl>
    <w:lvl w:ilvl="1" w:tplc="F9A258F0">
      <w:start w:val="1"/>
      <w:numFmt w:val="bullet"/>
      <w:lvlText w:val="-"/>
      <w:lvlJc w:val="left"/>
      <w:pPr>
        <w:ind w:left="1920" w:hanging="400"/>
      </w:pPr>
      <w:rPr>
        <w:rFonts w:ascii="Times New Roman" w:hAnsi="Times New Roman" w:cs="Times New Roman"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2" w15:restartNumberingAfterBreak="0">
    <w:nsid w:val="4DE768C0"/>
    <w:multiLevelType w:val="hybridMultilevel"/>
    <w:tmpl w:val="C7EE6C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B0F4D"/>
    <w:multiLevelType w:val="hybridMultilevel"/>
    <w:tmpl w:val="5FDE3A66"/>
    <w:lvl w:ilvl="0" w:tplc="4BECF660">
      <w:numFmt w:val="bullet"/>
      <w:lvlText w:val="•"/>
      <w:lvlJc w:val="left"/>
      <w:pPr>
        <w:tabs>
          <w:tab w:val="num" w:pos="3240"/>
        </w:tabs>
        <w:ind w:left="3240" w:hanging="360"/>
      </w:pPr>
      <w:rPr>
        <w:rFonts w:ascii="Arial" w:hAnsi="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E82484"/>
    <w:multiLevelType w:val="hybridMultilevel"/>
    <w:tmpl w:val="4B8E061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72686"/>
    <w:multiLevelType w:val="hybridMultilevel"/>
    <w:tmpl w:val="5A9C9C3C"/>
    <w:lvl w:ilvl="0" w:tplc="59C07282">
      <w:start w:val="1"/>
      <w:numFmt w:val="bullet"/>
      <w:lvlText w:val="–"/>
      <w:lvlJc w:val="left"/>
      <w:pPr>
        <w:tabs>
          <w:tab w:val="num" w:pos="720"/>
        </w:tabs>
        <w:ind w:left="720" w:hanging="360"/>
      </w:pPr>
      <w:rPr>
        <w:rFonts w:ascii="Arial" w:hAnsi="Arial" w:hint="default"/>
      </w:rPr>
    </w:lvl>
    <w:lvl w:ilvl="1" w:tplc="6890B210">
      <w:start w:val="1"/>
      <w:numFmt w:val="bullet"/>
      <w:lvlText w:val="–"/>
      <w:lvlJc w:val="left"/>
      <w:pPr>
        <w:tabs>
          <w:tab w:val="num" w:pos="1440"/>
        </w:tabs>
        <w:ind w:left="1440" w:hanging="360"/>
      </w:pPr>
      <w:rPr>
        <w:rFonts w:ascii="Arial" w:hAnsi="Arial" w:hint="default"/>
      </w:rPr>
    </w:lvl>
    <w:lvl w:ilvl="2" w:tplc="8FA64878" w:tentative="1">
      <w:start w:val="1"/>
      <w:numFmt w:val="bullet"/>
      <w:lvlText w:val="–"/>
      <w:lvlJc w:val="left"/>
      <w:pPr>
        <w:tabs>
          <w:tab w:val="num" w:pos="2160"/>
        </w:tabs>
        <w:ind w:left="2160" w:hanging="360"/>
      </w:pPr>
      <w:rPr>
        <w:rFonts w:ascii="Arial" w:hAnsi="Arial" w:hint="default"/>
      </w:rPr>
    </w:lvl>
    <w:lvl w:ilvl="3" w:tplc="B99E5962" w:tentative="1">
      <w:start w:val="1"/>
      <w:numFmt w:val="bullet"/>
      <w:lvlText w:val="–"/>
      <w:lvlJc w:val="left"/>
      <w:pPr>
        <w:tabs>
          <w:tab w:val="num" w:pos="2880"/>
        </w:tabs>
        <w:ind w:left="2880" w:hanging="360"/>
      </w:pPr>
      <w:rPr>
        <w:rFonts w:ascii="Arial" w:hAnsi="Arial" w:hint="default"/>
      </w:rPr>
    </w:lvl>
    <w:lvl w:ilvl="4" w:tplc="919A284A" w:tentative="1">
      <w:start w:val="1"/>
      <w:numFmt w:val="bullet"/>
      <w:lvlText w:val="–"/>
      <w:lvlJc w:val="left"/>
      <w:pPr>
        <w:tabs>
          <w:tab w:val="num" w:pos="3600"/>
        </w:tabs>
        <w:ind w:left="3600" w:hanging="360"/>
      </w:pPr>
      <w:rPr>
        <w:rFonts w:ascii="Arial" w:hAnsi="Arial" w:hint="default"/>
      </w:rPr>
    </w:lvl>
    <w:lvl w:ilvl="5" w:tplc="0F3A7EEE" w:tentative="1">
      <w:start w:val="1"/>
      <w:numFmt w:val="bullet"/>
      <w:lvlText w:val="–"/>
      <w:lvlJc w:val="left"/>
      <w:pPr>
        <w:tabs>
          <w:tab w:val="num" w:pos="4320"/>
        </w:tabs>
        <w:ind w:left="4320" w:hanging="360"/>
      </w:pPr>
      <w:rPr>
        <w:rFonts w:ascii="Arial" w:hAnsi="Arial" w:hint="default"/>
      </w:rPr>
    </w:lvl>
    <w:lvl w:ilvl="6" w:tplc="DF64A0F0" w:tentative="1">
      <w:start w:val="1"/>
      <w:numFmt w:val="bullet"/>
      <w:lvlText w:val="–"/>
      <w:lvlJc w:val="left"/>
      <w:pPr>
        <w:tabs>
          <w:tab w:val="num" w:pos="5040"/>
        </w:tabs>
        <w:ind w:left="5040" w:hanging="360"/>
      </w:pPr>
      <w:rPr>
        <w:rFonts w:ascii="Arial" w:hAnsi="Arial" w:hint="default"/>
      </w:rPr>
    </w:lvl>
    <w:lvl w:ilvl="7" w:tplc="B15A77EC" w:tentative="1">
      <w:start w:val="1"/>
      <w:numFmt w:val="bullet"/>
      <w:lvlText w:val="–"/>
      <w:lvlJc w:val="left"/>
      <w:pPr>
        <w:tabs>
          <w:tab w:val="num" w:pos="5760"/>
        </w:tabs>
        <w:ind w:left="5760" w:hanging="360"/>
      </w:pPr>
      <w:rPr>
        <w:rFonts w:ascii="Arial" w:hAnsi="Arial" w:hint="default"/>
      </w:rPr>
    </w:lvl>
    <w:lvl w:ilvl="8" w:tplc="1102CA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013669"/>
    <w:multiLevelType w:val="hybridMultilevel"/>
    <w:tmpl w:val="10BA25EA"/>
    <w:lvl w:ilvl="0" w:tplc="4BECF660">
      <w:numFmt w:val="bullet"/>
      <w:lvlText w:val="•"/>
      <w:lvlJc w:val="left"/>
      <w:pPr>
        <w:ind w:left="720" w:hanging="360"/>
      </w:pPr>
      <w:rPr>
        <w:rFonts w:ascii="Arial" w:hAnsi="Arial" w:hint="default"/>
      </w:rPr>
    </w:lvl>
    <w:lvl w:ilvl="1" w:tplc="FBAA42F6">
      <w:start w:val="1"/>
      <w:numFmt w:val="bullet"/>
      <w:lvlText w:val="-"/>
      <w:lvlJc w:val="left"/>
      <w:pPr>
        <w:ind w:left="1440" w:hanging="360"/>
      </w:pPr>
      <w:rPr>
        <w:rFonts w:ascii="Times New Roman" w:eastAsia="Batang"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17742"/>
    <w:multiLevelType w:val="hybridMultilevel"/>
    <w:tmpl w:val="CC741A08"/>
    <w:lvl w:ilvl="0" w:tplc="F2E85DC2">
      <w:start w:val="1"/>
      <w:numFmt w:val="bullet"/>
      <w:lvlText w:val="–"/>
      <w:lvlJc w:val="left"/>
      <w:pPr>
        <w:tabs>
          <w:tab w:val="num" w:pos="720"/>
        </w:tabs>
        <w:ind w:left="720" w:hanging="360"/>
      </w:pPr>
      <w:rPr>
        <w:rFonts w:ascii="Arial" w:hAnsi="Arial" w:hint="default"/>
      </w:rPr>
    </w:lvl>
    <w:lvl w:ilvl="1" w:tplc="6CB25850">
      <w:start w:val="1"/>
      <w:numFmt w:val="bullet"/>
      <w:lvlText w:val="–"/>
      <w:lvlJc w:val="left"/>
      <w:pPr>
        <w:tabs>
          <w:tab w:val="num" w:pos="1440"/>
        </w:tabs>
        <w:ind w:left="1440" w:hanging="360"/>
      </w:pPr>
      <w:rPr>
        <w:rFonts w:ascii="Arial" w:hAnsi="Arial" w:hint="default"/>
      </w:rPr>
    </w:lvl>
    <w:lvl w:ilvl="2" w:tplc="67604CFE" w:tentative="1">
      <w:start w:val="1"/>
      <w:numFmt w:val="bullet"/>
      <w:lvlText w:val="–"/>
      <w:lvlJc w:val="left"/>
      <w:pPr>
        <w:tabs>
          <w:tab w:val="num" w:pos="2160"/>
        </w:tabs>
        <w:ind w:left="2160" w:hanging="360"/>
      </w:pPr>
      <w:rPr>
        <w:rFonts w:ascii="Arial" w:hAnsi="Arial" w:hint="default"/>
      </w:rPr>
    </w:lvl>
    <w:lvl w:ilvl="3" w:tplc="404E4AB2" w:tentative="1">
      <w:start w:val="1"/>
      <w:numFmt w:val="bullet"/>
      <w:lvlText w:val="–"/>
      <w:lvlJc w:val="left"/>
      <w:pPr>
        <w:tabs>
          <w:tab w:val="num" w:pos="2880"/>
        </w:tabs>
        <w:ind w:left="2880" w:hanging="360"/>
      </w:pPr>
      <w:rPr>
        <w:rFonts w:ascii="Arial" w:hAnsi="Arial" w:hint="default"/>
      </w:rPr>
    </w:lvl>
    <w:lvl w:ilvl="4" w:tplc="E3DE6084" w:tentative="1">
      <w:start w:val="1"/>
      <w:numFmt w:val="bullet"/>
      <w:lvlText w:val="–"/>
      <w:lvlJc w:val="left"/>
      <w:pPr>
        <w:tabs>
          <w:tab w:val="num" w:pos="3600"/>
        </w:tabs>
        <w:ind w:left="3600" w:hanging="360"/>
      </w:pPr>
      <w:rPr>
        <w:rFonts w:ascii="Arial" w:hAnsi="Arial" w:hint="default"/>
      </w:rPr>
    </w:lvl>
    <w:lvl w:ilvl="5" w:tplc="25B02ABE" w:tentative="1">
      <w:start w:val="1"/>
      <w:numFmt w:val="bullet"/>
      <w:lvlText w:val="–"/>
      <w:lvlJc w:val="left"/>
      <w:pPr>
        <w:tabs>
          <w:tab w:val="num" w:pos="4320"/>
        </w:tabs>
        <w:ind w:left="4320" w:hanging="360"/>
      </w:pPr>
      <w:rPr>
        <w:rFonts w:ascii="Arial" w:hAnsi="Arial" w:hint="default"/>
      </w:rPr>
    </w:lvl>
    <w:lvl w:ilvl="6" w:tplc="23A60AFC" w:tentative="1">
      <w:start w:val="1"/>
      <w:numFmt w:val="bullet"/>
      <w:lvlText w:val="–"/>
      <w:lvlJc w:val="left"/>
      <w:pPr>
        <w:tabs>
          <w:tab w:val="num" w:pos="5040"/>
        </w:tabs>
        <w:ind w:left="5040" w:hanging="360"/>
      </w:pPr>
      <w:rPr>
        <w:rFonts w:ascii="Arial" w:hAnsi="Arial" w:hint="default"/>
      </w:rPr>
    </w:lvl>
    <w:lvl w:ilvl="7" w:tplc="BF62B33E" w:tentative="1">
      <w:start w:val="1"/>
      <w:numFmt w:val="bullet"/>
      <w:lvlText w:val="–"/>
      <w:lvlJc w:val="left"/>
      <w:pPr>
        <w:tabs>
          <w:tab w:val="num" w:pos="5760"/>
        </w:tabs>
        <w:ind w:left="5760" w:hanging="360"/>
      </w:pPr>
      <w:rPr>
        <w:rFonts w:ascii="Arial" w:hAnsi="Arial" w:hint="default"/>
      </w:rPr>
    </w:lvl>
    <w:lvl w:ilvl="8" w:tplc="FBBCEF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D4A2DD0"/>
    <w:multiLevelType w:val="hybridMultilevel"/>
    <w:tmpl w:val="A372E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85128"/>
    <w:multiLevelType w:val="hybridMultilevel"/>
    <w:tmpl w:val="3B9EA152"/>
    <w:lvl w:ilvl="0" w:tplc="6058833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4E1ABE"/>
    <w:multiLevelType w:val="hybridMultilevel"/>
    <w:tmpl w:val="49F0FD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F0AE8"/>
    <w:multiLevelType w:val="hybridMultilevel"/>
    <w:tmpl w:val="135C05AE"/>
    <w:lvl w:ilvl="0" w:tplc="41F23F1E">
      <w:start w:val="1"/>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56F011F"/>
    <w:multiLevelType w:val="hybridMultilevel"/>
    <w:tmpl w:val="7A52FFC8"/>
    <w:lvl w:ilvl="0" w:tplc="47F29B80">
      <w:start w:val="1"/>
      <w:numFmt w:val="bullet"/>
      <w:lvlText w:val="•"/>
      <w:lvlJc w:val="left"/>
      <w:pPr>
        <w:tabs>
          <w:tab w:val="num" w:pos="720"/>
        </w:tabs>
        <w:ind w:left="720" w:hanging="360"/>
      </w:pPr>
      <w:rPr>
        <w:rFonts w:ascii="Arial" w:hAnsi="Arial" w:hint="default"/>
      </w:rPr>
    </w:lvl>
    <w:lvl w:ilvl="1" w:tplc="21BEEEA2">
      <w:numFmt w:val="bullet"/>
      <w:lvlText w:val="–"/>
      <w:lvlJc w:val="left"/>
      <w:pPr>
        <w:tabs>
          <w:tab w:val="num" w:pos="1440"/>
        </w:tabs>
        <w:ind w:left="1440" w:hanging="360"/>
      </w:pPr>
      <w:rPr>
        <w:rFonts w:ascii="Arial" w:hAnsi="Arial" w:hint="default"/>
      </w:rPr>
    </w:lvl>
    <w:lvl w:ilvl="2" w:tplc="4BECF660">
      <w:numFmt w:val="bullet"/>
      <w:lvlText w:val="•"/>
      <w:lvlJc w:val="left"/>
      <w:pPr>
        <w:tabs>
          <w:tab w:val="num" w:pos="2160"/>
        </w:tabs>
        <w:ind w:left="2160" w:hanging="360"/>
      </w:pPr>
      <w:rPr>
        <w:rFonts w:ascii="Arial" w:hAnsi="Arial" w:hint="default"/>
      </w:rPr>
    </w:lvl>
    <w:lvl w:ilvl="3" w:tplc="47CE3F34" w:tentative="1">
      <w:start w:val="1"/>
      <w:numFmt w:val="bullet"/>
      <w:lvlText w:val="•"/>
      <w:lvlJc w:val="left"/>
      <w:pPr>
        <w:tabs>
          <w:tab w:val="num" w:pos="2880"/>
        </w:tabs>
        <w:ind w:left="2880" w:hanging="360"/>
      </w:pPr>
      <w:rPr>
        <w:rFonts w:ascii="Arial" w:hAnsi="Arial" w:hint="default"/>
      </w:rPr>
    </w:lvl>
    <w:lvl w:ilvl="4" w:tplc="2CB46072" w:tentative="1">
      <w:start w:val="1"/>
      <w:numFmt w:val="bullet"/>
      <w:lvlText w:val="•"/>
      <w:lvlJc w:val="left"/>
      <w:pPr>
        <w:tabs>
          <w:tab w:val="num" w:pos="3600"/>
        </w:tabs>
        <w:ind w:left="3600" w:hanging="360"/>
      </w:pPr>
      <w:rPr>
        <w:rFonts w:ascii="Arial" w:hAnsi="Arial" w:hint="default"/>
      </w:rPr>
    </w:lvl>
    <w:lvl w:ilvl="5" w:tplc="61D8125A" w:tentative="1">
      <w:start w:val="1"/>
      <w:numFmt w:val="bullet"/>
      <w:lvlText w:val="•"/>
      <w:lvlJc w:val="left"/>
      <w:pPr>
        <w:tabs>
          <w:tab w:val="num" w:pos="4320"/>
        </w:tabs>
        <w:ind w:left="4320" w:hanging="360"/>
      </w:pPr>
      <w:rPr>
        <w:rFonts w:ascii="Arial" w:hAnsi="Arial" w:hint="default"/>
      </w:rPr>
    </w:lvl>
    <w:lvl w:ilvl="6" w:tplc="6004F218" w:tentative="1">
      <w:start w:val="1"/>
      <w:numFmt w:val="bullet"/>
      <w:lvlText w:val="•"/>
      <w:lvlJc w:val="left"/>
      <w:pPr>
        <w:tabs>
          <w:tab w:val="num" w:pos="5040"/>
        </w:tabs>
        <w:ind w:left="5040" w:hanging="360"/>
      </w:pPr>
      <w:rPr>
        <w:rFonts w:ascii="Arial" w:hAnsi="Arial" w:hint="default"/>
      </w:rPr>
    </w:lvl>
    <w:lvl w:ilvl="7" w:tplc="0204A952" w:tentative="1">
      <w:start w:val="1"/>
      <w:numFmt w:val="bullet"/>
      <w:lvlText w:val="•"/>
      <w:lvlJc w:val="left"/>
      <w:pPr>
        <w:tabs>
          <w:tab w:val="num" w:pos="5760"/>
        </w:tabs>
        <w:ind w:left="5760" w:hanging="360"/>
      </w:pPr>
      <w:rPr>
        <w:rFonts w:ascii="Arial" w:hAnsi="Arial" w:hint="default"/>
      </w:rPr>
    </w:lvl>
    <w:lvl w:ilvl="8" w:tplc="5210A036"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9"/>
  </w:num>
  <w:num w:numId="3">
    <w:abstractNumId w:val="32"/>
  </w:num>
  <w:num w:numId="4">
    <w:abstractNumId w:val="25"/>
  </w:num>
  <w:num w:numId="5">
    <w:abstractNumId w:val="27"/>
  </w:num>
  <w:num w:numId="6">
    <w:abstractNumId w:val="11"/>
  </w:num>
  <w:num w:numId="7">
    <w:abstractNumId w:val="29"/>
  </w:num>
  <w:num w:numId="8">
    <w:abstractNumId w:val="24"/>
  </w:num>
  <w:num w:numId="9">
    <w:abstractNumId w:val="22"/>
  </w:num>
  <w:num w:numId="10">
    <w:abstractNumId w:val="6"/>
  </w:num>
  <w:num w:numId="11">
    <w:abstractNumId w:val="13"/>
  </w:num>
  <w:num w:numId="12">
    <w:abstractNumId w:val="21"/>
  </w:num>
  <w:num w:numId="13">
    <w:abstractNumId w:val="7"/>
  </w:num>
  <w:num w:numId="14">
    <w:abstractNumId w:val="12"/>
  </w:num>
  <w:num w:numId="15">
    <w:abstractNumId w:val="16"/>
  </w:num>
  <w:num w:numId="16">
    <w:abstractNumId w:val="5"/>
  </w:num>
  <w:num w:numId="17">
    <w:abstractNumId w:val="10"/>
  </w:num>
  <w:num w:numId="18">
    <w:abstractNumId w:val="2"/>
  </w:num>
  <w:num w:numId="19">
    <w:abstractNumId w:val="23"/>
  </w:num>
  <w:num w:numId="20">
    <w:abstractNumId w:val="3"/>
  </w:num>
  <w:num w:numId="21">
    <w:abstractNumId w:val="14"/>
  </w:num>
  <w:num w:numId="22">
    <w:abstractNumId w:val="4"/>
  </w:num>
  <w:num w:numId="23">
    <w:abstractNumId w:val="0"/>
  </w:num>
  <w:num w:numId="24">
    <w:abstractNumId w:val="26"/>
  </w:num>
  <w:num w:numId="25">
    <w:abstractNumId w:val="15"/>
  </w:num>
  <w:num w:numId="26">
    <w:abstractNumId w:val="30"/>
  </w:num>
  <w:num w:numId="27">
    <w:abstractNumId w:val="28"/>
  </w:num>
  <w:num w:numId="28">
    <w:abstractNumId w:val="9"/>
  </w:num>
  <w:num w:numId="29">
    <w:abstractNumId w:val="18"/>
  </w:num>
  <w:num w:numId="30">
    <w:abstractNumId w:val="17"/>
  </w:num>
  <w:num w:numId="31">
    <w:abstractNumId w:val="1"/>
  </w:num>
  <w:num w:numId="32">
    <w:abstractNumId w:val="31"/>
  </w:num>
  <w:num w:numId="3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ja-JP" w:vendorID="64" w:dllVersion="6" w:nlCheck="1" w:checkStyle="1"/>
  <w:activeWritingStyle w:appName="MSWord" w:lang="fr-FR" w:vendorID="64" w:dllVersion="6" w:nlCheck="1" w:checkStyle="1"/>
  <w:activeWritingStyle w:appName="MSWord" w:lang="fr-CA"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CE"/>
    <w:rsid w:val="0000671F"/>
    <w:rsid w:val="000069D4"/>
    <w:rsid w:val="00006D18"/>
    <w:rsid w:val="000174AD"/>
    <w:rsid w:val="000225CD"/>
    <w:rsid w:val="00040F3B"/>
    <w:rsid w:val="00043D5C"/>
    <w:rsid w:val="00044355"/>
    <w:rsid w:val="00046625"/>
    <w:rsid w:val="0005177B"/>
    <w:rsid w:val="00052F06"/>
    <w:rsid w:val="000535B7"/>
    <w:rsid w:val="00055A12"/>
    <w:rsid w:val="00061583"/>
    <w:rsid w:val="000645A1"/>
    <w:rsid w:val="00065512"/>
    <w:rsid w:val="00073017"/>
    <w:rsid w:val="0007392E"/>
    <w:rsid w:val="00080621"/>
    <w:rsid w:val="000818E1"/>
    <w:rsid w:val="00081D1F"/>
    <w:rsid w:val="0008206A"/>
    <w:rsid w:val="00091A89"/>
    <w:rsid w:val="00092DED"/>
    <w:rsid w:val="00095875"/>
    <w:rsid w:val="000A14DB"/>
    <w:rsid w:val="000A6643"/>
    <w:rsid w:val="000A7D55"/>
    <w:rsid w:val="000B1F5C"/>
    <w:rsid w:val="000C2885"/>
    <w:rsid w:val="000C2E8E"/>
    <w:rsid w:val="000C5352"/>
    <w:rsid w:val="000C7A66"/>
    <w:rsid w:val="000E0E7C"/>
    <w:rsid w:val="000E34E6"/>
    <w:rsid w:val="000E3A42"/>
    <w:rsid w:val="000F1B4B"/>
    <w:rsid w:val="00100AB5"/>
    <w:rsid w:val="00101A53"/>
    <w:rsid w:val="00107DCF"/>
    <w:rsid w:val="00110987"/>
    <w:rsid w:val="00112AC9"/>
    <w:rsid w:val="001149DD"/>
    <w:rsid w:val="00120500"/>
    <w:rsid w:val="00120C77"/>
    <w:rsid w:val="001214AA"/>
    <w:rsid w:val="00121ADA"/>
    <w:rsid w:val="00125F22"/>
    <w:rsid w:val="0012744F"/>
    <w:rsid w:val="00131036"/>
    <w:rsid w:val="001331CA"/>
    <w:rsid w:val="00135020"/>
    <w:rsid w:val="0014216C"/>
    <w:rsid w:val="0014234E"/>
    <w:rsid w:val="00142638"/>
    <w:rsid w:val="00147E62"/>
    <w:rsid w:val="0015255C"/>
    <w:rsid w:val="00153D59"/>
    <w:rsid w:val="00154C58"/>
    <w:rsid w:val="00156F66"/>
    <w:rsid w:val="001577B3"/>
    <w:rsid w:val="00160993"/>
    <w:rsid w:val="00162457"/>
    <w:rsid w:val="001638DF"/>
    <w:rsid w:val="00164D43"/>
    <w:rsid w:val="00165FD6"/>
    <w:rsid w:val="001672BD"/>
    <w:rsid w:val="001705A1"/>
    <w:rsid w:val="001752D6"/>
    <w:rsid w:val="00176EA8"/>
    <w:rsid w:val="00180B23"/>
    <w:rsid w:val="00180D42"/>
    <w:rsid w:val="00182528"/>
    <w:rsid w:val="0018500B"/>
    <w:rsid w:val="00186CEB"/>
    <w:rsid w:val="00196A19"/>
    <w:rsid w:val="001A29B4"/>
    <w:rsid w:val="001A35B3"/>
    <w:rsid w:val="001A77FE"/>
    <w:rsid w:val="001B39C5"/>
    <w:rsid w:val="001B5AF2"/>
    <w:rsid w:val="001B7777"/>
    <w:rsid w:val="001B7803"/>
    <w:rsid w:val="001C36B4"/>
    <w:rsid w:val="001C5744"/>
    <w:rsid w:val="001D3E14"/>
    <w:rsid w:val="001D3FEF"/>
    <w:rsid w:val="001D423A"/>
    <w:rsid w:val="001E15BB"/>
    <w:rsid w:val="00201001"/>
    <w:rsid w:val="00202DC1"/>
    <w:rsid w:val="002116EE"/>
    <w:rsid w:val="00214BC9"/>
    <w:rsid w:val="0022076C"/>
    <w:rsid w:val="002229EB"/>
    <w:rsid w:val="0022319C"/>
    <w:rsid w:val="00223580"/>
    <w:rsid w:val="00226968"/>
    <w:rsid w:val="00227047"/>
    <w:rsid w:val="002309D8"/>
    <w:rsid w:val="00235806"/>
    <w:rsid w:val="00245183"/>
    <w:rsid w:val="002522D4"/>
    <w:rsid w:val="00252DEA"/>
    <w:rsid w:val="00255BCE"/>
    <w:rsid w:val="00256FF0"/>
    <w:rsid w:val="00257A36"/>
    <w:rsid w:val="00265237"/>
    <w:rsid w:val="00266A22"/>
    <w:rsid w:val="00266C3A"/>
    <w:rsid w:val="0026711C"/>
    <w:rsid w:val="002712A0"/>
    <w:rsid w:val="00277B94"/>
    <w:rsid w:val="00281142"/>
    <w:rsid w:val="002850C5"/>
    <w:rsid w:val="0029370A"/>
    <w:rsid w:val="00294093"/>
    <w:rsid w:val="00294B53"/>
    <w:rsid w:val="00296278"/>
    <w:rsid w:val="002A1A24"/>
    <w:rsid w:val="002A1CD7"/>
    <w:rsid w:val="002A7471"/>
    <w:rsid w:val="002A7FE2"/>
    <w:rsid w:val="002B2C03"/>
    <w:rsid w:val="002B4395"/>
    <w:rsid w:val="002B4BE1"/>
    <w:rsid w:val="002D13AD"/>
    <w:rsid w:val="002D1917"/>
    <w:rsid w:val="002D3347"/>
    <w:rsid w:val="002D7421"/>
    <w:rsid w:val="002E04FE"/>
    <w:rsid w:val="002E1B4F"/>
    <w:rsid w:val="002E3D34"/>
    <w:rsid w:val="002E42EC"/>
    <w:rsid w:val="002E5DE0"/>
    <w:rsid w:val="002E77DC"/>
    <w:rsid w:val="002F2E67"/>
    <w:rsid w:val="002F4445"/>
    <w:rsid w:val="002F4A54"/>
    <w:rsid w:val="002F7D53"/>
    <w:rsid w:val="0030378A"/>
    <w:rsid w:val="00303E3F"/>
    <w:rsid w:val="00304CE3"/>
    <w:rsid w:val="00305489"/>
    <w:rsid w:val="00314DDB"/>
    <w:rsid w:val="00315546"/>
    <w:rsid w:val="00317D10"/>
    <w:rsid w:val="00320ACF"/>
    <w:rsid w:val="00321EC5"/>
    <w:rsid w:val="0032245F"/>
    <w:rsid w:val="0032479C"/>
    <w:rsid w:val="003262EA"/>
    <w:rsid w:val="00330567"/>
    <w:rsid w:val="00330A59"/>
    <w:rsid w:val="003316B9"/>
    <w:rsid w:val="00331F93"/>
    <w:rsid w:val="003363E6"/>
    <w:rsid w:val="00344A22"/>
    <w:rsid w:val="00346781"/>
    <w:rsid w:val="00346E06"/>
    <w:rsid w:val="0035161B"/>
    <w:rsid w:val="003609B0"/>
    <w:rsid w:val="00362614"/>
    <w:rsid w:val="0036269C"/>
    <w:rsid w:val="00366943"/>
    <w:rsid w:val="0037143E"/>
    <w:rsid w:val="00385334"/>
    <w:rsid w:val="00386A9D"/>
    <w:rsid w:val="00391081"/>
    <w:rsid w:val="0039157F"/>
    <w:rsid w:val="00393534"/>
    <w:rsid w:val="00393549"/>
    <w:rsid w:val="003939D7"/>
    <w:rsid w:val="003A3E8B"/>
    <w:rsid w:val="003A6C06"/>
    <w:rsid w:val="003B2789"/>
    <w:rsid w:val="003B5314"/>
    <w:rsid w:val="003C13CE"/>
    <w:rsid w:val="003C47E2"/>
    <w:rsid w:val="003D13F0"/>
    <w:rsid w:val="003D20F2"/>
    <w:rsid w:val="003D57FD"/>
    <w:rsid w:val="003E0F17"/>
    <w:rsid w:val="003E2518"/>
    <w:rsid w:val="003F30DA"/>
    <w:rsid w:val="003F4460"/>
    <w:rsid w:val="00403C09"/>
    <w:rsid w:val="004128BF"/>
    <w:rsid w:val="00413099"/>
    <w:rsid w:val="004144B3"/>
    <w:rsid w:val="0041463F"/>
    <w:rsid w:val="00417547"/>
    <w:rsid w:val="0042597B"/>
    <w:rsid w:val="00425F9A"/>
    <w:rsid w:val="00431129"/>
    <w:rsid w:val="0043146A"/>
    <w:rsid w:val="004330C8"/>
    <w:rsid w:val="004340EA"/>
    <w:rsid w:val="00440070"/>
    <w:rsid w:val="0044387C"/>
    <w:rsid w:val="00453684"/>
    <w:rsid w:val="00456C1D"/>
    <w:rsid w:val="004611F5"/>
    <w:rsid w:val="00462136"/>
    <w:rsid w:val="004651AA"/>
    <w:rsid w:val="00475970"/>
    <w:rsid w:val="00477BDA"/>
    <w:rsid w:val="00482E51"/>
    <w:rsid w:val="00483436"/>
    <w:rsid w:val="00483EB0"/>
    <w:rsid w:val="004866EF"/>
    <w:rsid w:val="004918C6"/>
    <w:rsid w:val="004926BA"/>
    <w:rsid w:val="00496A93"/>
    <w:rsid w:val="00497578"/>
    <w:rsid w:val="004A2465"/>
    <w:rsid w:val="004A4029"/>
    <w:rsid w:val="004A4231"/>
    <w:rsid w:val="004A640A"/>
    <w:rsid w:val="004A75D5"/>
    <w:rsid w:val="004B1EF7"/>
    <w:rsid w:val="004B26DA"/>
    <w:rsid w:val="004B2744"/>
    <w:rsid w:val="004B3C32"/>
    <w:rsid w:val="004B3FAD"/>
    <w:rsid w:val="004C2888"/>
    <w:rsid w:val="004D14B3"/>
    <w:rsid w:val="004E7D68"/>
    <w:rsid w:val="004F585B"/>
    <w:rsid w:val="004F66CE"/>
    <w:rsid w:val="004F78E4"/>
    <w:rsid w:val="00501DCA"/>
    <w:rsid w:val="00504169"/>
    <w:rsid w:val="00505F91"/>
    <w:rsid w:val="00513A47"/>
    <w:rsid w:val="005141A7"/>
    <w:rsid w:val="00521BF6"/>
    <w:rsid w:val="005332FC"/>
    <w:rsid w:val="00534664"/>
    <w:rsid w:val="00534E9F"/>
    <w:rsid w:val="00535D82"/>
    <w:rsid w:val="00536A80"/>
    <w:rsid w:val="00536B5C"/>
    <w:rsid w:val="0054005D"/>
    <w:rsid w:val="00540840"/>
    <w:rsid w:val="005408DF"/>
    <w:rsid w:val="00544A8A"/>
    <w:rsid w:val="00552CFF"/>
    <w:rsid w:val="00554674"/>
    <w:rsid w:val="0055629E"/>
    <w:rsid w:val="00557BDF"/>
    <w:rsid w:val="00573344"/>
    <w:rsid w:val="00574314"/>
    <w:rsid w:val="00575C0F"/>
    <w:rsid w:val="00577360"/>
    <w:rsid w:val="00577F26"/>
    <w:rsid w:val="00580656"/>
    <w:rsid w:val="00582780"/>
    <w:rsid w:val="00583991"/>
    <w:rsid w:val="00583F9B"/>
    <w:rsid w:val="005859E6"/>
    <w:rsid w:val="00590964"/>
    <w:rsid w:val="00593143"/>
    <w:rsid w:val="00595202"/>
    <w:rsid w:val="005964F3"/>
    <w:rsid w:val="005966BB"/>
    <w:rsid w:val="00596899"/>
    <w:rsid w:val="005A07A5"/>
    <w:rsid w:val="005A086B"/>
    <w:rsid w:val="005A2CBD"/>
    <w:rsid w:val="005B0DFF"/>
    <w:rsid w:val="005B420A"/>
    <w:rsid w:val="005B4270"/>
    <w:rsid w:val="005C0E28"/>
    <w:rsid w:val="005C366D"/>
    <w:rsid w:val="005C6C15"/>
    <w:rsid w:val="005C6E87"/>
    <w:rsid w:val="005E1389"/>
    <w:rsid w:val="005E36D0"/>
    <w:rsid w:val="005E58CE"/>
    <w:rsid w:val="005E5C10"/>
    <w:rsid w:val="005E7766"/>
    <w:rsid w:val="005F17E4"/>
    <w:rsid w:val="005F2C78"/>
    <w:rsid w:val="005F59B5"/>
    <w:rsid w:val="005F627B"/>
    <w:rsid w:val="005F6B70"/>
    <w:rsid w:val="005F6B81"/>
    <w:rsid w:val="006001BE"/>
    <w:rsid w:val="00613FD2"/>
    <w:rsid w:val="006144E4"/>
    <w:rsid w:val="00614FBB"/>
    <w:rsid w:val="00617ACC"/>
    <w:rsid w:val="00621BBE"/>
    <w:rsid w:val="006228CE"/>
    <w:rsid w:val="00627C5F"/>
    <w:rsid w:val="00631725"/>
    <w:rsid w:val="006348FB"/>
    <w:rsid w:val="006351F6"/>
    <w:rsid w:val="006368AC"/>
    <w:rsid w:val="00641CCC"/>
    <w:rsid w:val="00642B55"/>
    <w:rsid w:val="00650299"/>
    <w:rsid w:val="006508F7"/>
    <w:rsid w:val="00655E1A"/>
    <w:rsid w:val="00655FC5"/>
    <w:rsid w:val="00661C61"/>
    <w:rsid w:val="006623AD"/>
    <w:rsid w:val="00662F16"/>
    <w:rsid w:val="006639FA"/>
    <w:rsid w:val="00673266"/>
    <w:rsid w:val="0067639E"/>
    <w:rsid w:val="00680BC3"/>
    <w:rsid w:val="006830B2"/>
    <w:rsid w:val="00683A9A"/>
    <w:rsid w:val="00684202"/>
    <w:rsid w:val="006846AA"/>
    <w:rsid w:val="00684966"/>
    <w:rsid w:val="00686685"/>
    <w:rsid w:val="0069689B"/>
    <w:rsid w:val="006A22B7"/>
    <w:rsid w:val="006A5CE9"/>
    <w:rsid w:val="006A7994"/>
    <w:rsid w:val="006C676F"/>
    <w:rsid w:val="006D162B"/>
    <w:rsid w:val="006D52CF"/>
    <w:rsid w:val="006F4BEF"/>
    <w:rsid w:val="00701A50"/>
    <w:rsid w:val="00711136"/>
    <w:rsid w:val="00713341"/>
    <w:rsid w:val="00713C0C"/>
    <w:rsid w:val="00715BAD"/>
    <w:rsid w:val="00716D49"/>
    <w:rsid w:val="00717F38"/>
    <w:rsid w:val="00722AB0"/>
    <w:rsid w:val="00725007"/>
    <w:rsid w:val="00726858"/>
    <w:rsid w:val="0074000A"/>
    <w:rsid w:val="00744113"/>
    <w:rsid w:val="007465D1"/>
    <w:rsid w:val="00750793"/>
    <w:rsid w:val="0075547E"/>
    <w:rsid w:val="00756060"/>
    <w:rsid w:val="00760238"/>
    <w:rsid w:val="007605BA"/>
    <w:rsid w:val="00771BAD"/>
    <w:rsid w:val="00771F4D"/>
    <w:rsid w:val="0078105B"/>
    <w:rsid w:val="0078484C"/>
    <w:rsid w:val="00790BE5"/>
    <w:rsid w:val="00791B75"/>
    <w:rsid w:val="00792A15"/>
    <w:rsid w:val="00797694"/>
    <w:rsid w:val="007B78B4"/>
    <w:rsid w:val="007C0F79"/>
    <w:rsid w:val="007C0FBF"/>
    <w:rsid w:val="007C53C9"/>
    <w:rsid w:val="007C5701"/>
    <w:rsid w:val="007C7131"/>
    <w:rsid w:val="007D02C9"/>
    <w:rsid w:val="007D0A14"/>
    <w:rsid w:val="007D4201"/>
    <w:rsid w:val="007D4CCE"/>
    <w:rsid w:val="007D4F7F"/>
    <w:rsid w:val="007E4F89"/>
    <w:rsid w:val="007F07C2"/>
    <w:rsid w:val="007F578C"/>
    <w:rsid w:val="00800FDA"/>
    <w:rsid w:val="00815F40"/>
    <w:rsid w:val="00822581"/>
    <w:rsid w:val="00825FB3"/>
    <w:rsid w:val="008309DD"/>
    <w:rsid w:val="00831C27"/>
    <w:rsid w:val="0083227A"/>
    <w:rsid w:val="008345F2"/>
    <w:rsid w:val="0083794A"/>
    <w:rsid w:val="00837F0D"/>
    <w:rsid w:val="00843728"/>
    <w:rsid w:val="008445DD"/>
    <w:rsid w:val="0084551E"/>
    <w:rsid w:val="00846D20"/>
    <w:rsid w:val="00847493"/>
    <w:rsid w:val="0085038E"/>
    <w:rsid w:val="00851467"/>
    <w:rsid w:val="00862998"/>
    <w:rsid w:val="008629D6"/>
    <w:rsid w:val="0086481F"/>
    <w:rsid w:val="00866900"/>
    <w:rsid w:val="00873152"/>
    <w:rsid w:val="008738AF"/>
    <w:rsid w:val="00881BA1"/>
    <w:rsid w:val="00886475"/>
    <w:rsid w:val="008868D3"/>
    <w:rsid w:val="00886C7D"/>
    <w:rsid w:val="00887AC6"/>
    <w:rsid w:val="008907A6"/>
    <w:rsid w:val="0089191E"/>
    <w:rsid w:val="00894494"/>
    <w:rsid w:val="00894718"/>
    <w:rsid w:val="008A0219"/>
    <w:rsid w:val="008A032A"/>
    <w:rsid w:val="008A6F64"/>
    <w:rsid w:val="008B2D35"/>
    <w:rsid w:val="008B7CA8"/>
    <w:rsid w:val="008C26B8"/>
    <w:rsid w:val="008C44B5"/>
    <w:rsid w:val="008C4A36"/>
    <w:rsid w:val="008C54E5"/>
    <w:rsid w:val="008C6AC4"/>
    <w:rsid w:val="008C7580"/>
    <w:rsid w:val="008D0AD7"/>
    <w:rsid w:val="008D1927"/>
    <w:rsid w:val="008D34AC"/>
    <w:rsid w:val="008D37A2"/>
    <w:rsid w:val="008E42E5"/>
    <w:rsid w:val="008F0036"/>
    <w:rsid w:val="00905CCB"/>
    <w:rsid w:val="00906BA7"/>
    <w:rsid w:val="009077B6"/>
    <w:rsid w:val="00915E0D"/>
    <w:rsid w:val="00922A15"/>
    <w:rsid w:val="009232BB"/>
    <w:rsid w:val="009233C5"/>
    <w:rsid w:val="00932174"/>
    <w:rsid w:val="0093510D"/>
    <w:rsid w:val="00937B2B"/>
    <w:rsid w:val="00942F8C"/>
    <w:rsid w:val="00944CF5"/>
    <w:rsid w:val="0095277F"/>
    <w:rsid w:val="00953790"/>
    <w:rsid w:val="009537D9"/>
    <w:rsid w:val="009609D6"/>
    <w:rsid w:val="00961D5D"/>
    <w:rsid w:val="009621A9"/>
    <w:rsid w:val="00962CAF"/>
    <w:rsid w:val="00967F8D"/>
    <w:rsid w:val="009709A8"/>
    <w:rsid w:val="00974071"/>
    <w:rsid w:val="00982084"/>
    <w:rsid w:val="00995963"/>
    <w:rsid w:val="009A0291"/>
    <w:rsid w:val="009B3E56"/>
    <w:rsid w:val="009B5A58"/>
    <w:rsid w:val="009B6021"/>
    <w:rsid w:val="009B61EB"/>
    <w:rsid w:val="009B7909"/>
    <w:rsid w:val="009B7B1B"/>
    <w:rsid w:val="009C2064"/>
    <w:rsid w:val="009C331B"/>
    <w:rsid w:val="009C5518"/>
    <w:rsid w:val="009C58C7"/>
    <w:rsid w:val="009D0363"/>
    <w:rsid w:val="009D1697"/>
    <w:rsid w:val="009E0A1F"/>
    <w:rsid w:val="009E1228"/>
    <w:rsid w:val="009E1711"/>
    <w:rsid w:val="009E28A6"/>
    <w:rsid w:val="009E57E6"/>
    <w:rsid w:val="009E77C4"/>
    <w:rsid w:val="009E7F6F"/>
    <w:rsid w:val="009F260F"/>
    <w:rsid w:val="009F2EC1"/>
    <w:rsid w:val="009F35F6"/>
    <w:rsid w:val="009F47A4"/>
    <w:rsid w:val="009F565A"/>
    <w:rsid w:val="00A01204"/>
    <w:rsid w:val="00A014F8"/>
    <w:rsid w:val="00A07DFB"/>
    <w:rsid w:val="00A158A4"/>
    <w:rsid w:val="00A21153"/>
    <w:rsid w:val="00A27680"/>
    <w:rsid w:val="00A329BB"/>
    <w:rsid w:val="00A33793"/>
    <w:rsid w:val="00A33E5E"/>
    <w:rsid w:val="00A35533"/>
    <w:rsid w:val="00A4103D"/>
    <w:rsid w:val="00A410CD"/>
    <w:rsid w:val="00A4681A"/>
    <w:rsid w:val="00A5173C"/>
    <w:rsid w:val="00A52855"/>
    <w:rsid w:val="00A53049"/>
    <w:rsid w:val="00A54A6A"/>
    <w:rsid w:val="00A569C9"/>
    <w:rsid w:val="00A57D02"/>
    <w:rsid w:val="00A603E8"/>
    <w:rsid w:val="00A616CF"/>
    <w:rsid w:val="00A6177A"/>
    <w:rsid w:val="00A61AEF"/>
    <w:rsid w:val="00A63C27"/>
    <w:rsid w:val="00A646D0"/>
    <w:rsid w:val="00A730BC"/>
    <w:rsid w:val="00A77667"/>
    <w:rsid w:val="00A81FC2"/>
    <w:rsid w:val="00A83792"/>
    <w:rsid w:val="00A933AB"/>
    <w:rsid w:val="00A93D58"/>
    <w:rsid w:val="00AA52CB"/>
    <w:rsid w:val="00AB0204"/>
    <w:rsid w:val="00AB1AF3"/>
    <w:rsid w:val="00AB6D34"/>
    <w:rsid w:val="00AC14B3"/>
    <w:rsid w:val="00AC2A75"/>
    <w:rsid w:val="00AC45E0"/>
    <w:rsid w:val="00AC73A5"/>
    <w:rsid w:val="00AD4F68"/>
    <w:rsid w:val="00AD5818"/>
    <w:rsid w:val="00AE0447"/>
    <w:rsid w:val="00AE38FE"/>
    <w:rsid w:val="00AE3C6F"/>
    <w:rsid w:val="00AE51AE"/>
    <w:rsid w:val="00AE70CF"/>
    <w:rsid w:val="00AF173A"/>
    <w:rsid w:val="00AF7EFA"/>
    <w:rsid w:val="00B018C0"/>
    <w:rsid w:val="00B066A4"/>
    <w:rsid w:val="00B06F7A"/>
    <w:rsid w:val="00B07A13"/>
    <w:rsid w:val="00B10D41"/>
    <w:rsid w:val="00B117D7"/>
    <w:rsid w:val="00B162F4"/>
    <w:rsid w:val="00B226D6"/>
    <w:rsid w:val="00B2321B"/>
    <w:rsid w:val="00B3601A"/>
    <w:rsid w:val="00B4279B"/>
    <w:rsid w:val="00B44ECC"/>
    <w:rsid w:val="00B45FC9"/>
    <w:rsid w:val="00B46631"/>
    <w:rsid w:val="00B47E42"/>
    <w:rsid w:val="00B53876"/>
    <w:rsid w:val="00B56D8C"/>
    <w:rsid w:val="00B57CEC"/>
    <w:rsid w:val="00B62609"/>
    <w:rsid w:val="00B73632"/>
    <w:rsid w:val="00B757CF"/>
    <w:rsid w:val="00B811FA"/>
    <w:rsid w:val="00B8388C"/>
    <w:rsid w:val="00B84827"/>
    <w:rsid w:val="00B91589"/>
    <w:rsid w:val="00BA0A4B"/>
    <w:rsid w:val="00BA0BD7"/>
    <w:rsid w:val="00BA3F21"/>
    <w:rsid w:val="00BA443F"/>
    <w:rsid w:val="00BB0B8A"/>
    <w:rsid w:val="00BB26D4"/>
    <w:rsid w:val="00BB4AAB"/>
    <w:rsid w:val="00BB6F7E"/>
    <w:rsid w:val="00BC7CCF"/>
    <w:rsid w:val="00BD21BC"/>
    <w:rsid w:val="00BD649D"/>
    <w:rsid w:val="00BE31CD"/>
    <w:rsid w:val="00BE470B"/>
    <w:rsid w:val="00BE5230"/>
    <w:rsid w:val="00BE7825"/>
    <w:rsid w:val="00BE7DE7"/>
    <w:rsid w:val="00BF05A5"/>
    <w:rsid w:val="00BF1AAD"/>
    <w:rsid w:val="00BF25A9"/>
    <w:rsid w:val="00C02773"/>
    <w:rsid w:val="00C04DC2"/>
    <w:rsid w:val="00C11F21"/>
    <w:rsid w:val="00C140C8"/>
    <w:rsid w:val="00C15526"/>
    <w:rsid w:val="00C2259C"/>
    <w:rsid w:val="00C25F8B"/>
    <w:rsid w:val="00C26724"/>
    <w:rsid w:val="00C31190"/>
    <w:rsid w:val="00C319A0"/>
    <w:rsid w:val="00C333FF"/>
    <w:rsid w:val="00C34138"/>
    <w:rsid w:val="00C35B20"/>
    <w:rsid w:val="00C364AC"/>
    <w:rsid w:val="00C372A3"/>
    <w:rsid w:val="00C40135"/>
    <w:rsid w:val="00C41440"/>
    <w:rsid w:val="00C42857"/>
    <w:rsid w:val="00C44ED4"/>
    <w:rsid w:val="00C56943"/>
    <w:rsid w:val="00C57A91"/>
    <w:rsid w:val="00C57B2A"/>
    <w:rsid w:val="00C57E84"/>
    <w:rsid w:val="00C65E92"/>
    <w:rsid w:val="00C66777"/>
    <w:rsid w:val="00C67F53"/>
    <w:rsid w:val="00C70E63"/>
    <w:rsid w:val="00C71907"/>
    <w:rsid w:val="00C73A48"/>
    <w:rsid w:val="00C77782"/>
    <w:rsid w:val="00C81369"/>
    <w:rsid w:val="00C828EA"/>
    <w:rsid w:val="00C860AF"/>
    <w:rsid w:val="00C91590"/>
    <w:rsid w:val="00C92EE8"/>
    <w:rsid w:val="00CA0911"/>
    <w:rsid w:val="00CA6645"/>
    <w:rsid w:val="00CA7C41"/>
    <w:rsid w:val="00CA7E1E"/>
    <w:rsid w:val="00CB224C"/>
    <w:rsid w:val="00CC01C2"/>
    <w:rsid w:val="00CC23AA"/>
    <w:rsid w:val="00CC719F"/>
    <w:rsid w:val="00CD2D39"/>
    <w:rsid w:val="00CD326E"/>
    <w:rsid w:val="00CE1603"/>
    <w:rsid w:val="00CE644A"/>
    <w:rsid w:val="00CF0C4B"/>
    <w:rsid w:val="00CF1B86"/>
    <w:rsid w:val="00CF21F2"/>
    <w:rsid w:val="00CF245C"/>
    <w:rsid w:val="00CF25C3"/>
    <w:rsid w:val="00CF44F1"/>
    <w:rsid w:val="00CF4536"/>
    <w:rsid w:val="00CF523E"/>
    <w:rsid w:val="00D02712"/>
    <w:rsid w:val="00D035F7"/>
    <w:rsid w:val="00D049CF"/>
    <w:rsid w:val="00D16C48"/>
    <w:rsid w:val="00D2054A"/>
    <w:rsid w:val="00D214D0"/>
    <w:rsid w:val="00D22927"/>
    <w:rsid w:val="00D240E7"/>
    <w:rsid w:val="00D34E81"/>
    <w:rsid w:val="00D35555"/>
    <w:rsid w:val="00D35E0C"/>
    <w:rsid w:val="00D429AB"/>
    <w:rsid w:val="00D50DB1"/>
    <w:rsid w:val="00D5683E"/>
    <w:rsid w:val="00D60F9E"/>
    <w:rsid w:val="00D6546B"/>
    <w:rsid w:val="00D66288"/>
    <w:rsid w:val="00D665A3"/>
    <w:rsid w:val="00D71DAD"/>
    <w:rsid w:val="00D7256B"/>
    <w:rsid w:val="00D733CC"/>
    <w:rsid w:val="00D778A9"/>
    <w:rsid w:val="00D77DFF"/>
    <w:rsid w:val="00D80062"/>
    <w:rsid w:val="00D8157C"/>
    <w:rsid w:val="00D82573"/>
    <w:rsid w:val="00D90F89"/>
    <w:rsid w:val="00D93C01"/>
    <w:rsid w:val="00D95AF0"/>
    <w:rsid w:val="00D97A08"/>
    <w:rsid w:val="00DA3B60"/>
    <w:rsid w:val="00DA60FA"/>
    <w:rsid w:val="00DB5082"/>
    <w:rsid w:val="00DB5539"/>
    <w:rsid w:val="00DB6144"/>
    <w:rsid w:val="00DC0437"/>
    <w:rsid w:val="00DD078D"/>
    <w:rsid w:val="00DD4BED"/>
    <w:rsid w:val="00DE2175"/>
    <w:rsid w:val="00DE39F0"/>
    <w:rsid w:val="00DE75E9"/>
    <w:rsid w:val="00DF0AF3"/>
    <w:rsid w:val="00DF25F8"/>
    <w:rsid w:val="00DF31AF"/>
    <w:rsid w:val="00DF5C67"/>
    <w:rsid w:val="00E0043D"/>
    <w:rsid w:val="00E03B38"/>
    <w:rsid w:val="00E06BBA"/>
    <w:rsid w:val="00E071A7"/>
    <w:rsid w:val="00E101CC"/>
    <w:rsid w:val="00E12481"/>
    <w:rsid w:val="00E152F3"/>
    <w:rsid w:val="00E1661B"/>
    <w:rsid w:val="00E16DE5"/>
    <w:rsid w:val="00E17084"/>
    <w:rsid w:val="00E27CEA"/>
    <w:rsid w:val="00E27D7E"/>
    <w:rsid w:val="00E32821"/>
    <w:rsid w:val="00E329DB"/>
    <w:rsid w:val="00E32DAA"/>
    <w:rsid w:val="00E34489"/>
    <w:rsid w:val="00E3664E"/>
    <w:rsid w:val="00E42E13"/>
    <w:rsid w:val="00E443CD"/>
    <w:rsid w:val="00E456A8"/>
    <w:rsid w:val="00E50447"/>
    <w:rsid w:val="00E515ED"/>
    <w:rsid w:val="00E521A8"/>
    <w:rsid w:val="00E521F2"/>
    <w:rsid w:val="00E53B64"/>
    <w:rsid w:val="00E6257C"/>
    <w:rsid w:val="00E6293D"/>
    <w:rsid w:val="00E62C4E"/>
    <w:rsid w:val="00E63BA1"/>
    <w:rsid w:val="00E63C59"/>
    <w:rsid w:val="00E76DC3"/>
    <w:rsid w:val="00E77CC6"/>
    <w:rsid w:val="00E802A4"/>
    <w:rsid w:val="00E82204"/>
    <w:rsid w:val="00E82871"/>
    <w:rsid w:val="00E8548C"/>
    <w:rsid w:val="00E90212"/>
    <w:rsid w:val="00E90674"/>
    <w:rsid w:val="00E907DC"/>
    <w:rsid w:val="00E9476D"/>
    <w:rsid w:val="00E94F7D"/>
    <w:rsid w:val="00E97637"/>
    <w:rsid w:val="00EA4B4C"/>
    <w:rsid w:val="00EB0C07"/>
    <w:rsid w:val="00EB107C"/>
    <w:rsid w:val="00EB4398"/>
    <w:rsid w:val="00EB4A47"/>
    <w:rsid w:val="00EB57BC"/>
    <w:rsid w:val="00EB69F6"/>
    <w:rsid w:val="00EB7828"/>
    <w:rsid w:val="00EC3BBD"/>
    <w:rsid w:val="00EC7CBF"/>
    <w:rsid w:val="00ED3091"/>
    <w:rsid w:val="00ED41BE"/>
    <w:rsid w:val="00ED6690"/>
    <w:rsid w:val="00ED6696"/>
    <w:rsid w:val="00ED6F43"/>
    <w:rsid w:val="00EE0011"/>
    <w:rsid w:val="00EE7637"/>
    <w:rsid w:val="00EF05ED"/>
    <w:rsid w:val="00EF648B"/>
    <w:rsid w:val="00EF7561"/>
    <w:rsid w:val="00F00683"/>
    <w:rsid w:val="00F061C9"/>
    <w:rsid w:val="00F168A5"/>
    <w:rsid w:val="00F22F7D"/>
    <w:rsid w:val="00F259AE"/>
    <w:rsid w:val="00F30E9D"/>
    <w:rsid w:val="00F3206E"/>
    <w:rsid w:val="00F32322"/>
    <w:rsid w:val="00F35E88"/>
    <w:rsid w:val="00F517D4"/>
    <w:rsid w:val="00F528B4"/>
    <w:rsid w:val="00F53205"/>
    <w:rsid w:val="00F53D96"/>
    <w:rsid w:val="00F57F21"/>
    <w:rsid w:val="00F63CA6"/>
    <w:rsid w:val="00F662C1"/>
    <w:rsid w:val="00F66F43"/>
    <w:rsid w:val="00F73A14"/>
    <w:rsid w:val="00F744B5"/>
    <w:rsid w:val="00F7702F"/>
    <w:rsid w:val="00F77404"/>
    <w:rsid w:val="00F8212F"/>
    <w:rsid w:val="00F90A59"/>
    <w:rsid w:val="00F92B1E"/>
    <w:rsid w:val="00F97170"/>
    <w:rsid w:val="00FA04FF"/>
    <w:rsid w:val="00FA124A"/>
    <w:rsid w:val="00FA1F10"/>
    <w:rsid w:val="00FA6638"/>
    <w:rsid w:val="00FA76F6"/>
    <w:rsid w:val="00FB1AE5"/>
    <w:rsid w:val="00FB234C"/>
    <w:rsid w:val="00FB631C"/>
    <w:rsid w:val="00FC08DD"/>
    <w:rsid w:val="00FC2316"/>
    <w:rsid w:val="00FC2CFD"/>
    <w:rsid w:val="00FC33E2"/>
    <w:rsid w:val="00FC4BF7"/>
    <w:rsid w:val="00FC7B71"/>
    <w:rsid w:val="00FD19E1"/>
    <w:rsid w:val="00FD2234"/>
    <w:rsid w:val="00FD29F9"/>
    <w:rsid w:val="00FD5025"/>
    <w:rsid w:val="00FD7861"/>
    <w:rsid w:val="00FE4980"/>
    <w:rsid w:val="00FE62A6"/>
    <w:rsid w:val="00FE7220"/>
    <w:rsid w:val="00FF01C2"/>
    <w:rsid w:val="00FF337E"/>
    <w:rsid w:val="00FF4A06"/>
    <w:rsid w:val="00FF4C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noteTextChar">
    <w:name w:val="Footnote Text Char"/>
    <w:basedOn w:val="DefaultParagraphFont"/>
    <w:link w:val="FootnoteText"/>
    <w:uiPriority w:val="99"/>
    <w:locked/>
    <w:rsid w:val="007D4CCE"/>
    <w:rPr>
      <w:rFonts w:ascii="Times New Roman" w:hAnsi="Times New Roman"/>
      <w:sz w:val="24"/>
      <w:lang w:val="en-GB" w:eastAsia="en-US"/>
    </w:rPr>
  </w:style>
  <w:style w:type="character" w:styleId="Hyperlink">
    <w:name w:val="Hyperlink"/>
    <w:basedOn w:val="DefaultParagraphFont"/>
    <w:uiPriority w:val="99"/>
    <w:unhideWhenUsed/>
    <w:rsid w:val="00EF05ED"/>
    <w:rPr>
      <w:color w:val="0000FF"/>
      <w:u w:val="single"/>
    </w:rPr>
  </w:style>
  <w:style w:type="paragraph" w:styleId="BalloonText">
    <w:name w:val="Balloon Text"/>
    <w:basedOn w:val="Normal"/>
    <w:link w:val="BalloonTextChar"/>
    <w:rsid w:val="00862998"/>
    <w:pPr>
      <w:spacing w:before="0"/>
    </w:pPr>
    <w:rPr>
      <w:rFonts w:ascii="Tahoma" w:hAnsi="Tahoma" w:cs="Tahoma"/>
      <w:sz w:val="16"/>
      <w:szCs w:val="16"/>
    </w:rPr>
  </w:style>
  <w:style w:type="character" w:customStyle="1" w:styleId="BalloonTextChar">
    <w:name w:val="Balloon Text Char"/>
    <w:basedOn w:val="DefaultParagraphFont"/>
    <w:link w:val="BalloonText"/>
    <w:rsid w:val="00862998"/>
    <w:rPr>
      <w:rFonts w:ascii="Tahoma" w:hAnsi="Tahoma" w:cs="Tahoma"/>
      <w:sz w:val="16"/>
      <w:szCs w:val="16"/>
      <w:lang w:val="en-GB" w:eastAsia="en-US"/>
    </w:rPr>
  </w:style>
  <w:style w:type="paragraph" w:styleId="ListParagraph">
    <w:name w:val="List Paragraph"/>
    <w:basedOn w:val="Normal"/>
    <w:uiPriority w:val="34"/>
    <w:qFormat/>
    <w:rsid w:val="008A032A"/>
    <w:pPr>
      <w:ind w:left="720"/>
      <w:contextualSpacing/>
    </w:pPr>
  </w:style>
  <w:style w:type="character" w:customStyle="1" w:styleId="TableNoChar">
    <w:name w:val="Table_No Char"/>
    <w:link w:val="TableNo"/>
    <w:locked/>
    <w:rsid w:val="00A158A4"/>
    <w:rPr>
      <w:rFonts w:ascii="Times New Roman" w:hAnsi="Times New Roman"/>
      <w:caps/>
      <w:lang w:val="en-GB" w:eastAsia="en-US"/>
    </w:rPr>
  </w:style>
  <w:style w:type="character" w:customStyle="1" w:styleId="FiguretitleChar">
    <w:name w:val="Figure_title Char"/>
    <w:link w:val="Figuretitle"/>
    <w:locked/>
    <w:rsid w:val="001B7803"/>
    <w:rPr>
      <w:rFonts w:ascii="Times New Roman Bold" w:hAnsi="Times New Roman Bold"/>
      <w:b/>
      <w:lang w:val="en-GB" w:eastAsia="en-US"/>
    </w:rPr>
  </w:style>
  <w:style w:type="character" w:styleId="CommentReference">
    <w:name w:val="annotation reference"/>
    <w:basedOn w:val="DefaultParagraphFont"/>
    <w:semiHidden/>
    <w:unhideWhenUsed/>
    <w:rsid w:val="00D66288"/>
    <w:rPr>
      <w:sz w:val="18"/>
      <w:szCs w:val="18"/>
    </w:rPr>
  </w:style>
  <w:style w:type="paragraph" w:styleId="CommentText">
    <w:name w:val="annotation text"/>
    <w:basedOn w:val="Normal"/>
    <w:link w:val="CommentTextChar"/>
    <w:semiHidden/>
    <w:unhideWhenUsed/>
    <w:rsid w:val="00D66288"/>
  </w:style>
  <w:style w:type="character" w:customStyle="1" w:styleId="CommentTextChar">
    <w:name w:val="Comment Text Char"/>
    <w:basedOn w:val="DefaultParagraphFont"/>
    <w:link w:val="CommentText"/>
    <w:semiHidden/>
    <w:rsid w:val="00D66288"/>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D66288"/>
    <w:rPr>
      <w:b/>
      <w:bCs/>
    </w:rPr>
  </w:style>
  <w:style w:type="character" w:customStyle="1" w:styleId="CommentSubjectChar">
    <w:name w:val="Comment Subject Char"/>
    <w:basedOn w:val="CommentTextChar"/>
    <w:link w:val="CommentSubject"/>
    <w:semiHidden/>
    <w:rsid w:val="00D66288"/>
    <w:rPr>
      <w:rFonts w:ascii="Times New Roman" w:hAnsi="Times New Roman"/>
      <w:b/>
      <w:bCs/>
      <w:sz w:val="24"/>
      <w:lang w:val="en-GB" w:eastAsia="en-US"/>
    </w:rPr>
  </w:style>
  <w:style w:type="table" w:styleId="TableGrid">
    <w:name w:val="Table Grid"/>
    <w:basedOn w:val="TableNormal"/>
    <w:uiPriority w:val="99"/>
    <w:rsid w:val="00683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7547"/>
    <w:rPr>
      <w:rFonts w:ascii="Times New Roman" w:eastAsia="Batang" w:hAnsi="Times New Roman"/>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E3A42"/>
    <w:rPr>
      <w:rFonts w:eastAsia="MS Mincho"/>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32245F"/>
    <w:rPr>
      <w:rFonts w:ascii="Times New Roman" w:hAnsi="Times New Roman"/>
      <w:lang w:val="en-GB" w:eastAsia="en-US"/>
    </w:rPr>
  </w:style>
  <w:style w:type="paragraph" w:customStyle="1" w:styleId="Tablefin">
    <w:name w:val="Table_fin"/>
    <w:basedOn w:val="Normal"/>
    <w:next w:val="Normal"/>
    <w:rsid w:val="0032245F"/>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table" w:customStyle="1" w:styleId="TableGrid3">
    <w:name w:val="Table Grid3"/>
    <w:basedOn w:val="TableNormal"/>
    <w:next w:val="TableGrid"/>
    <w:uiPriority w:val="39"/>
    <w:rsid w:val="0032245F"/>
    <w:rPr>
      <w:rFonts w:asciiTheme="minorHAnsi"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245F"/>
    <w:rPr>
      <w:rFonts w:asciiTheme="minorHAnsi"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ispg-antibold">
    <w:name w:val="thispg-antibold"/>
    <w:basedOn w:val="DefaultParagraphFont"/>
    <w:rsid w:val="004A2465"/>
  </w:style>
  <w:style w:type="table" w:customStyle="1" w:styleId="TableGrid5">
    <w:name w:val="Table Grid5"/>
    <w:basedOn w:val="TableNormal"/>
    <w:next w:val="TableGrid"/>
    <w:uiPriority w:val="99"/>
    <w:rsid w:val="002B4BE1"/>
    <w:rPr>
      <w:rFonts w:ascii="Calibri" w:eastAsia="Malgun Gothic"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2396">
      <w:bodyDiv w:val="1"/>
      <w:marLeft w:val="0"/>
      <w:marRight w:val="0"/>
      <w:marTop w:val="0"/>
      <w:marBottom w:val="0"/>
      <w:divBdr>
        <w:top w:val="none" w:sz="0" w:space="0" w:color="auto"/>
        <w:left w:val="none" w:sz="0" w:space="0" w:color="auto"/>
        <w:bottom w:val="none" w:sz="0" w:space="0" w:color="auto"/>
        <w:right w:val="none" w:sz="0" w:space="0" w:color="auto"/>
      </w:divBdr>
      <w:divsChild>
        <w:div w:id="1314215919">
          <w:marLeft w:val="0"/>
          <w:marRight w:val="0"/>
          <w:marTop w:val="0"/>
          <w:marBottom w:val="0"/>
          <w:divBdr>
            <w:top w:val="none" w:sz="0" w:space="0" w:color="auto"/>
            <w:left w:val="none" w:sz="0" w:space="0" w:color="auto"/>
            <w:bottom w:val="none" w:sz="0" w:space="0" w:color="auto"/>
            <w:right w:val="none" w:sz="0" w:space="0" w:color="auto"/>
          </w:divBdr>
          <w:divsChild>
            <w:div w:id="19776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2760">
      <w:bodyDiv w:val="1"/>
      <w:marLeft w:val="0"/>
      <w:marRight w:val="0"/>
      <w:marTop w:val="0"/>
      <w:marBottom w:val="0"/>
      <w:divBdr>
        <w:top w:val="none" w:sz="0" w:space="0" w:color="auto"/>
        <w:left w:val="none" w:sz="0" w:space="0" w:color="auto"/>
        <w:bottom w:val="none" w:sz="0" w:space="0" w:color="auto"/>
        <w:right w:val="none" w:sz="0" w:space="0" w:color="auto"/>
      </w:divBdr>
    </w:div>
    <w:div w:id="627319782">
      <w:bodyDiv w:val="1"/>
      <w:marLeft w:val="0"/>
      <w:marRight w:val="0"/>
      <w:marTop w:val="0"/>
      <w:marBottom w:val="0"/>
      <w:divBdr>
        <w:top w:val="none" w:sz="0" w:space="0" w:color="auto"/>
        <w:left w:val="none" w:sz="0" w:space="0" w:color="auto"/>
        <w:bottom w:val="none" w:sz="0" w:space="0" w:color="auto"/>
        <w:right w:val="none" w:sz="0" w:space="0" w:color="auto"/>
      </w:divBdr>
    </w:div>
    <w:div w:id="793057441">
      <w:bodyDiv w:val="1"/>
      <w:marLeft w:val="0"/>
      <w:marRight w:val="0"/>
      <w:marTop w:val="0"/>
      <w:marBottom w:val="0"/>
      <w:divBdr>
        <w:top w:val="none" w:sz="0" w:space="0" w:color="auto"/>
        <w:left w:val="none" w:sz="0" w:space="0" w:color="auto"/>
        <w:bottom w:val="none" w:sz="0" w:space="0" w:color="auto"/>
        <w:right w:val="none" w:sz="0" w:space="0" w:color="auto"/>
      </w:divBdr>
    </w:div>
    <w:div w:id="1187670293">
      <w:bodyDiv w:val="1"/>
      <w:marLeft w:val="0"/>
      <w:marRight w:val="0"/>
      <w:marTop w:val="0"/>
      <w:marBottom w:val="0"/>
      <w:divBdr>
        <w:top w:val="none" w:sz="0" w:space="0" w:color="auto"/>
        <w:left w:val="none" w:sz="0" w:space="0" w:color="auto"/>
        <w:bottom w:val="none" w:sz="0" w:space="0" w:color="auto"/>
        <w:right w:val="none" w:sz="0" w:space="0" w:color="auto"/>
      </w:divBdr>
      <w:divsChild>
        <w:div w:id="876817510">
          <w:marLeft w:val="806"/>
          <w:marRight w:val="0"/>
          <w:marTop w:val="60"/>
          <w:marBottom w:val="0"/>
          <w:divBdr>
            <w:top w:val="none" w:sz="0" w:space="0" w:color="auto"/>
            <w:left w:val="none" w:sz="0" w:space="0" w:color="auto"/>
            <w:bottom w:val="none" w:sz="0" w:space="0" w:color="auto"/>
            <w:right w:val="none" w:sz="0" w:space="0" w:color="auto"/>
          </w:divBdr>
        </w:div>
        <w:div w:id="528684540">
          <w:marLeft w:val="1469"/>
          <w:marRight w:val="0"/>
          <w:marTop w:val="60"/>
          <w:marBottom w:val="0"/>
          <w:divBdr>
            <w:top w:val="none" w:sz="0" w:space="0" w:color="auto"/>
            <w:left w:val="none" w:sz="0" w:space="0" w:color="auto"/>
            <w:bottom w:val="none" w:sz="0" w:space="0" w:color="auto"/>
            <w:right w:val="none" w:sz="0" w:space="0" w:color="auto"/>
          </w:divBdr>
        </w:div>
        <w:div w:id="576938042">
          <w:marLeft w:val="1469"/>
          <w:marRight w:val="0"/>
          <w:marTop w:val="60"/>
          <w:marBottom w:val="0"/>
          <w:divBdr>
            <w:top w:val="none" w:sz="0" w:space="0" w:color="auto"/>
            <w:left w:val="none" w:sz="0" w:space="0" w:color="auto"/>
            <w:bottom w:val="none" w:sz="0" w:space="0" w:color="auto"/>
            <w:right w:val="none" w:sz="0" w:space="0" w:color="auto"/>
          </w:divBdr>
        </w:div>
        <w:div w:id="1213230941">
          <w:marLeft w:val="1469"/>
          <w:marRight w:val="0"/>
          <w:marTop w:val="60"/>
          <w:marBottom w:val="0"/>
          <w:divBdr>
            <w:top w:val="none" w:sz="0" w:space="0" w:color="auto"/>
            <w:left w:val="none" w:sz="0" w:space="0" w:color="auto"/>
            <w:bottom w:val="none" w:sz="0" w:space="0" w:color="auto"/>
            <w:right w:val="none" w:sz="0" w:space="0" w:color="auto"/>
          </w:divBdr>
        </w:div>
        <w:div w:id="684210572">
          <w:marLeft w:val="1469"/>
          <w:marRight w:val="0"/>
          <w:marTop w:val="60"/>
          <w:marBottom w:val="0"/>
          <w:divBdr>
            <w:top w:val="none" w:sz="0" w:space="0" w:color="auto"/>
            <w:left w:val="none" w:sz="0" w:space="0" w:color="auto"/>
            <w:bottom w:val="none" w:sz="0" w:space="0" w:color="auto"/>
            <w:right w:val="none" w:sz="0" w:space="0" w:color="auto"/>
          </w:divBdr>
        </w:div>
        <w:div w:id="2061828234">
          <w:marLeft w:val="1469"/>
          <w:marRight w:val="0"/>
          <w:marTop w:val="60"/>
          <w:marBottom w:val="0"/>
          <w:divBdr>
            <w:top w:val="none" w:sz="0" w:space="0" w:color="auto"/>
            <w:left w:val="none" w:sz="0" w:space="0" w:color="auto"/>
            <w:bottom w:val="none" w:sz="0" w:space="0" w:color="auto"/>
            <w:right w:val="none" w:sz="0" w:space="0" w:color="auto"/>
          </w:divBdr>
        </w:div>
        <w:div w:id="1800688198">
          <w:marLeft w:val="1469"/>
          <w:marRight w:val="0"/>
          <w:marTop w:val="60"/>
          <w:marBottom w:val="0"/>
          <w:divBdr>
            <w:top w:val="none" w:sz="0" w:space="0" w:color="auto"/>
            <w:left w:val="none" w:sz="0" w:space="0" w:color="auto"/>
            <w:bottom w:val="none" w:sz="0" w:space="0" w:color="auto"/>
            <w:right w:val="none" w:sz="0" w:space="0" w:color="auto"/>
          </w:divBdr>
        </w:div>
        <w:div w:id="1612660095">
          <w:marLeft w:val="1469"/>
          <w:marRight w:val="0"/>
          <w:marTop w:val="60"/>
          <w:marBottom w:val="0"/>
          <w:divBdr>
            <w:top w:val="none" w:sz="0" w:space="0" w:color="auto"/>
            <w:left w:val="none" w:sz="0" w:space="0" w:color="auto"/>
            <w:bottom w:val="none" w:sz="0" w:space="0" w:color="auto"/>
            <w:right w:val="none" w:sz="0" w:space="0" w:color="auto"/>
          </w:divBdr>
        </w:div>
      </w:divsChild>
    </w:div>
    <w:div w:id="1199930476">
      <w:bodyDiv w:val="1"/>
      <w:marLeft w:val="0"/>
      <w:marRight w:val="0"/>
      <w:marTop w:val="0"/>
      <w:marBottom w:val="0"/>
      <w:divBdr>
        <w:top w:val="none" w:sz="0" w:space="0" w:color="auto"/>
        <w:left w:val="none" w:sz="0" w:space="0" w:color="auto"/>
        <w:bottom w:val="none" w:sz="0" w:space="0" w:color="auto"/>
        <w:right w:val="none" w:sz="0" w:space="0" w:color="auto"/>
      </w:divBdr>
      <w:divsChild>
        <w:div w:id="597952172">
          <w:marLeft w:val="806"/>
          <w:marRight w:val="0"/>
          <w:marTop w:val="192"/>
          <w:marBottom w:val="0"/>
          <w:divBdr>
            <w:top w:val="none" w:sz="0" w:space="0" w:color="auto"/>
            <w:left w:val="none" w:sz="0" w:space="0" w:color="auto"/>
            <w:bottom w:val="none" w:sz="0" w:space="0" w:color="auto"/>
            <w:right w:val="none" w:sz="0" w:space="0" w:color="auto"/>
          </w:divBdr>
        </w:div>
        <w:div w:id="1013150605">
          <w:marLeft w:val="806"/>
          <w:marRight w:val="0"/>
          <w:marTop w:val="192"/>
          <w:marBottom w:val="0"/>
          <w:divBdr>
            <w:top w:val="none" w:sz="0" w:space="0" w:color="auto"/>
            <w:left w:val="none" w:sz="0" w:space="0" w:color="auto"/>
            <w:bottom w:val="none" w:sz="0" w:space="0" w:color="auto"/>
            <w:right w:val="none" w:sz="0" w:space="0" w:color="auto"/>
          </w:divBdr>
        </w:div>
        <w:div w:id="641471755">
          <w:marLeft w:val="806"/>
          <w:marRight w:val="0"/>
          <w:marTop w:val="192"/>
          <w:marBottom w:val="0"/>
          <w:divBdr>
            <w:top w:val="none" w:sz="0" w:space="0" w:color="auto"/>
            <w:left w:val="none" w:sz="0" w:space="0" w:color="auto"/>
            <w:bottom w:val="none" w:sz="0" w:space="0" w:color="auto"/>
            <w:right w:val="none" w:sz="0" w:space="0" w:color="auto"/>
          </w:divBdr>
        </w:div>
        <w:div w:id="640967947">
          <w:marLeft w:val="806"/>
          <w:marRight w:val="0"/>
          <w:marTop w:val="192"/>
          <w:marBottom w:val="0"/>
          <w:divBdr>
            <w:top w:val="none" w:sz="0" w:space="0" w:color="auto"/>
            <w:left w:val="none" w:sz="0" w:space="0" w:color="auto"/>
            <w:bottom w:val="none" w:sz="0" w:space="0" w:color="auto"/>
            <w:right w:val="none" w:sz="0" w:space="0" w:color="auto"/>
          </w:divBdr>
        </w:div>
        <w:div w:id="1485968673">
          <w:marLeft w:val="806"/>
          <w:marRight w:val="0"/>
          <w:marTop w:val="192"/>
          <w:marBottom w:val="0"/>
          <w:divBdr>
            <w:top w:val="none" w:sz="0" w:space="0" w:color="auto"/>
            <w:left w:val="none" w:sz="0" w:space="0" w:color="auto"/>
            <w:bottom w:val="none" w:sz="0" w:space="0" w:color="auto"/>
            <w:right w:val="none" w:sz="0" w:space="0" w:color="auto"/>
          </w:divBdr>
        </w:div>
        <w:div w:id="1682051003">
          <w:marLeft w:val="806"/>
          <w:marRight w:val="0"/>
          <w:marTop w:val="192"/>
          <w:marBottom w:val="0"/>
          <w:divBdr>
            <w:top w:val="none" w:sz="0" w:space="0" w:color="auto"/>
            <w:left w:val="none" w:sz="0" w:space="0" w:color="auto"/>
            <w:bottom w:val="none" w:sz="0" w:space="0" w:color="auto"/>
            <w:right w:val="none" w:sz="0" w:space="0" w:color="auto"/>
          </w:divBdr>
        </w:div>
        <w:div w:id="1385132049">
          <w:marLeft w:val="1354"/>
          <w:marRight w:val="0"/>
          <w:marTop w:val="82"/>
          <w:marBottom w:val="0"/>
          <w:divBdr>
            <w:top w:val="none" w:sz="0" w:space="0" w:color="auto"/>
            <w:left w:val="none" w:sz="0" w:space="0" w:color="auto"/>
            <w:bottom w:val="none" w:sz="0" w:space="0" w:color="auto"/>
            <w:right w:val="none" w:sz="0" w:space="0" w:color="auto"/>
          </w:divBdr>
        </w:div>
        <w:div w:id="2116360888">
          <w:marLeft w:val="1354"/>
          <w:marRight w:val="0"/>
          <w:marTop w:val="82"/>
          <w:marBottom w:val="0"/>
          <w:divBdr>
            <w:top w:val="none" w:sz="0" w:space="0" w:color="auto"/>
            <w:left w:val="none" w:sz="0" w:space="0" w:color="auto"/>
            <w:bottom w:val="none" w:sz="0" w:space="0" w:color="auto"/>
            <w:right w:val="none" w:sz="0" w:space="0" w:color="auto"/>
          </w:divBdr>
        </w:div>
        <w:div w:id="598371404">
          <w:marLeft w:val="1354"/>
          <w:marRight w:val="0"/>
          <w:marTop w:val="82"/>
          <w:marBottom w:val="0"/>
          <w:divBdr>
            <w:top w:val="none" w:sz="0" w:space="0" w:color="auto"/>
            <w:left w:val="none" w:sz="0" w:space="0" w:color="auto"/>
            <w:bottom w:val="none" w:sz="0" w:space="0" w:color="auto"/>
            <w:right w:val="none" w:sz="0" w:space="0" w:color="auto"/>
          </w:divBdr>
        </w:div>
        <w:div w:id="1600601619">
          <w:marLeft w:val="1354"/>
          <w:marRight w:val="0"/>
          <w:marTop w:val="82"/>
          <w:marBottom w:val="0"/>
          <w:divBdr>
            <w:top w:val="none" w:sz="0" w:space="0" w:color="auto"/>
            <w:left w:val="none" w:sz="0" w:space="0" w:color="auto"/>
            <w:bottom w:val="none" w:sz="0" w:space="0" w:color="auto"/>
            <w:right w:val="none" w:sz="0" w:space="0" w:color="auto"/>
          </w:divBdr>
        </w:div>
        <w:div w:id="783765219">
          <w:marLeft w:val="806"/>
          <w:marRight w:val="0"/>
          <w:marTop w:val="192"/>
          <w:marBottom w:val="0"/>
          <w:divBdr>
            <w:top w:val="none" w:sz="0" w:space="0" w:color="auto"/>
            <w:left w:val="none" w:sz="0" w:space="0" w:color="auto"/>
            <w:bottom w:val="none" w:sz="0" w:space="0" w:color="auto"/>
            <w:right w:val="none" w:sz="0" w:space="0" w:color="auto"/>
          </w:divBdr>
        </w:div>
        <w:div w:id="680082200">
          <w:marLeft w:val="806"/>
          <w:marRight w:val="0"/>
          <w:marTop w:val="192"/>
          <w:marBottom w:val="0"/>
          <w:divBdr>
            <w:top w:val="none" w:sz="0" w:space="0" w:color="auto"/>
            <w:left w:val="none" w:sz="0" w:space="0" w:color="auto"/>
            <w:bottom w:val="none" w:sz="0" w:space="0" w:color="auto"/>
            <w:right w:val="none" w:sz="0" w:space="0" w:color="auto"/>
          </w:divBdr>
        </w:div>
        <w:div w:id="1987542417">
          <w:marLeft w:val="605"/>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rec/R-REC-SM/en" TargetMode="External"/><Relationship Id="rId18" Type="http://schemas.openxmlformats.org/officeDocument/2006/relationships/hyperlink" Target="http://www.itu.int/pub/R-REP-SM.23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rec/R-REC-SM.2110/en" TargetMode="External"/><Relationship Id="rId17" Type="http://schemas.openxmlformats.org/officeDocument/2006/relationships/hyperlink" Target="http://www.itu.int/pub/R-REP-SM/en" TargetMode="External"/><Relationship Id="rId2" Type="http://schemas.openxmlformats.org/officeDocument/2006/relationships/numbering" Target="numbering.xml"/><Relationship Id="rId16" Type="http://schemas.openxmlformats.org/officeDocument/2006/relationships/hyperlink" Target="http://www.itu.int/pub/R-REP-SM.215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sec.org/sites/default/files/Upload-files/AWG/APT-AWG-REP-62Rev.1_APT_Report_on_WPT.docx" TargetMode="External"/><Relationship Id="rId5" Type="http://schemas.openxmlformats.org/officeDocument/2006/relationships/webSettings" Target="webSettings.xml"/><Relationship Id="rId15" Type="http://schemas.openxmlformats.org/officeDocument/2006/relationships/hyperlink" Target="http://www.itu.int/pub/R-REP-SM/en" TargetMode="External"/><Relationship Id="rId10" Type="http://schemas.openxmlformats.org/officeDocument/2006/relationships/hyperlink" Target="http://www.aptsec.org/AWG-RECS-REP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tsec.org/AWG-RECS-REPS" TargetMode="External"/><Relationship Id="rId14" Type="http://schemas.openxmlformats.org/officeDocument/2006/relationships/hyperlink" Target="http://www.itu.int/rec/R-REC-SM/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03E2B-545F-4028-AE23-11086CA0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2018-06-04T01:19:00Z</dcterms:created>
  <dcterms:modified xsi:type="dcterms:W3CDTF">2018-06-04T03:35:00Z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(2)WHR4DDNH/1IZPprOotFwnRbhryZz8dlHpx0W6EtyGEwkGNyHTg4ZM4HY8mT81wXVd4yBSmFu
36QQONmaIvhpz61sa7HAdn2GDBl4v+q1Gz2/yqLs9CzR7juWa6/yBuuFNMyF9Bprvi1KQnIJ
nZ5BNeUtNhHpsyn5KSEzOagoOtGZijhT/7JUbgkoINbrgPD9TDOSGdqglX61Po9auUsm8cbq
WMxUAA/P4NcHTwCZuX</vt:lpwstr>
  </property>
  <property fmtid="{D5CDD505-2E9C-101B-9397-08002B2CF9AE}" pid="4" name="_2015_ms_pID_7253431">
    <vt:lpwstr>M+7ivskD/SBF3CC6o4nDaJbfwz94TXaa25Fjt6JcPvFPmuHPV72hrO
yeu5FZNvEfhyPbkymIOGCd3UliazZcwqVS8reKNjzgItmwQTcApi3G77aE2OUjmJfYHyHV34
iGns8uMvXqVUdfXvOeiftLjeMWx+agPLCQ7luhnTVJjOaj+nutiiBtmSjXl4xFQybQJJPg/z
jXBMqw2y58JgcUI2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1506577950</vt:lpwstr>
  </property>
</Properties>
</file>