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5760"/>
        <w:gridCol w:w="1962"/>
        <w:gridCol w:w="198"/>
        <w:gridCol w:w="1962"/>
      </w:tblGrid>
      <w:tr w:rsidR="004C2E39" w:rsidRPr="007A7BCE" w14:paraId="19B20CF1" w14:textId="77777777" w:rsidTr="004C2E39">
        <w:trPr>
          <w:cantSplit/>
        </w:trPr>
        <w:tc>
          <w:tcPr>
            <w:tcW w:w="1368" w:type="dxa"/>
            <w:vMerge w:val="restart"/>
          </w:tcPr>
          <w:p w14:paraId="272BB3A9" w14:textId="77777777" w:rsidR="004C2E39" w:rsidRPr="007A7BCE" w:rsidRDefault="004C2E39" w:rsidP="004C2E39">
            <w:pPr>
              <w:widowControl w:val="0"/>
              <w:wordWrap w:val="0"/>
              <w:rPr>
                <w:kern w:val="2"/>
                <w:lang w:eastAsia="ko-KR"/>
              </w:rPr>
            </w:pPr>
            <w:r w:rsidRPr="007A7BCE">
              <w:rPr>
                <w:noProof/>
                <w:kern w:val="2"/>
              </w:rPr>
              <w:drawing>
                <wp:inline distT="0" distB="0" distL="0" distR="0" wp14:anchorId="4F0711B7" wp14:editId="5D3F818E">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722" w:type="dxa"/>
            <w:gridSpan w:val="2"/>
          </w:tcPr>
          <w:p w14:paraId="52981AE8" w14:textId="3095E15B" w:rsidR="004C2E39" w:rsidRPr="007A7BCE" w:rsidRDefault="004C2E39" w:rsidP="004C2E39">
            <w:pPr>
              <w:keepNext/>
              <w:widowControl w:val="0"/>
              <w:spacing w:before="40"/>
              <w:outlineLvl w:val="7"/>
              <w:rPr>
                <w:bCs/>
                <w:kern w:val="2"/>
                <w:lang w:eastAsia="ko-KR"/>
              </w:rPr>
            </w:pPr>
            <w:r w:rsidRPr="00E1518B">
              <w:t>ASIA-PACIFIC TELECOMMUNITY</w:t>
            </w:r>
          </w:p>
        </w:tc>
        <w:tc>
          <w:tcPr>
            <w:tcW w:w="2160" w:type="dxa"/>
            <w:gridSpan w:val="2"/>
          </w:tcPr>
          <w:p w14:paraId="304D1F2F" w14:textId="72BC73DD" w:rsidR="004C2E39" w:rsidRPr="007A7BCE" w:rsidRDefault="004C2E39" w:rsidP="004C2E39">
            <w:pPr>
              <w:spacing w:before="40"/>
              <w:rPr>
                <w:b/>
              </w:rPr>
            </w:pPr>
          </w:p>
        </w:tc>
      </w:tr>
      <w:tr w:rsidR="004C2E39" w:rsidRPr="007A7BCE" w14:paraId="58E72DE6" w14:textId="77777777" w:rsidTr="004C2E39">
        <w:trPr>
          <w:cantSplit/>
        </w:trPr>
        <w:tc>
          <w:tcPr>
            <w:tcW w:w="1368" w:type="dxa"/>
            <w:vMerge/>
          </w:tcPr>
          <w:p w14:paraId="5EA73C3C" w14:textId="77777777" w:rsidR="004C2E39" w:rsidRPr="007A7BCE" w:rsidRDefault="004C2E39" w:rsidP="004C2E39"/>
        </w:tc>
        <w:tc>
          <w:tcPr>
            <w:tcW w:w="7722" w:type="dxa"/>
            <w:gridSpan w:val="2"/>
          </w:tcPr>
          <w:p w14:paraId="50BEBCF6" w14:textId="0BD63731" w:rsidR="004C2E39" w:rsidRPr="007A7BCE" w:rsidRDefault="004C2E39" w:rsidP="004C2E39">
            <w:pPr>
              <w:spacing w:before="40"/>
              <w:rPr>
                <w:bCs/>
              </w:rPr>
            </w:pPr>
            <w:r>
              <w:rPr>
                <w:b/>
              </w:rPr>
              <w:t xml:space="preserve">SOUTH ASIAN TELECOMMUNICATIONS </w:t>
            </w:r>
            <w:r w:rsidRPr="00E1518B">
              <w:rPr>
                <w:b/>
              </w:rPr>
              <w:t>REGULATOR</w:t>
            </w:r>
            <w:r>
              <w:rPr>
                <w:b/>
              </w:rPr>
              <w:t>’</w:t>
            </w:r>
            <w:r w:rsidRPr="00E1518B">
              <w:rPr>
                <w:b/>
              </w:rPr>
              <w:t>S COUNCIL</w:t>
            </w:r>
            <w:r w:rsidRPr="00E1518B">
              <w:t xml:space="preserve"> </w:t>
            </w:r>
            <w:r>
              <w:rPr>
                <w:b/>
                <w:bCs/>
              </w:rPr>
              <w:t>(SATRC</w:t>
            </w:r>
            <w:r w:rsidRPr="00E1518B">
              <w:rPr>
                <w:b/>
                <w:bCs/>
              </w:rPr>
              <w:t>)</w:t>
            </w:r>
          </w:p>
        </w:tc>
        <w:tc>
          <w:tcPr>
            <w:tcW w:w="2160" w:type="dxa"/>
            <w:gridSpan w:val="2"/>
          </w:tcPr>
          <w:p w14:paraId="40640A2D" w14:textId="0E68A9BC" w:rsidR="004C2E39" w:rsidRPr="007A7BCE" w:rsidRDefault="004C2E39" w:rsidP="004C2E39">
            <w:pPr>
              <w:spacing w:before="40"/>
              <w:rPr>
                <w:b/>
                <w:bCs/>
              </w:rPr>
            </w:pPr>
          </w:p>
        </w:tc>
      </w:tr>
      <w:tr w:rsidR="00535559" w:rsidRPr="007A7BCE" w14:paraId="5C7A275E" w14:textId="77777777" w:rsidTr="004C2E39">
        <w:trPr>
          <w:gridAfter w:val="1"/>
          <w:wAfter w:w="1962" w:type="dxa"/>
          <w:cantSplit/>
          <w:trHeight w:val="219"/>
        </w:trPr>
        <w:tc>
          <w:tcPr>
            <w:tcW w:w="1368" w:type="dxa"/>
            <w:vMerge/>
          </w:tcPr>
          <w:p w14:paraId="37D8AA52" w14:textId="77777777" w:rsidR="00535559" w:rsidRPr="007A7BCE" w:rsidRDefault="00535559" w:rsidP="00AE0C92"/>
        </w:tc>
        <w:tc>
          <w:tcPr>
            <w:tcW w:w="5760" w:type="dxa"/>
          </w:tcPr>
          <w:p w14:paraId="0E0AD67F" w14:textId="42081126" w:rsidR="00535559" w:rsidRPr="007A7BCE" w:rsidRDefault="00535559" w:rsidP="00AE0C92">
            <w:pPr>
              <w:spacing w:before="40"/>
            </w:pPr>
          </w:p>
        </w:tc>
        <w:tc>
          <w:tcPr>
            <w:tcW w:w="2160" w:type="dxa"/>
            <w:gridSpan w:val="2"/>
          </w:tcPr>
          <w:p w14:paraId="50D37D49" w14:textId="522AAB63" w:rsidR="00535559" w:rsidRPr="007A7BCE" w:rsidRDefault="00535559" w:rsidP="00AE0C92">
            <w:pPr>
              <w:keepNext/>
              <w:spacing w:before="40"/>
              <w:outlineLvl w:val="0"/>
              <w:rPr>
                <w:bCs/>
                <w:u w:val="single"/>
              </w:rPr>
            </w:pPr>
          </w:p>
        </w:tc>
      </w:tr>
    </w:tbl>
    <w:p w14:paraId="554536C9" w14:textId="77777777" w:rsidR="00535559" w:rsidRPr="00115572" w:rsidRDefault="00535559" w:rsidP="00535559">
      <w:pPr>
        <w:rPr>
          <w:b/>
          <w:bCs/>
          <w:caps/>
          <w:sz w:val="28"/>
          <w:szCs w:val="28"/>
          <w:lang w:eastAsia="ko-KR"/>
        </w:rPr>
      </w:pPr>
    </w:p>
    <w:p w14:paraId="5B539D9A" w14:textId="77777777" w:rsidR="00535559" w:rsidRPr="00115572" w:rsidRDefault="00535559" w:rsidP="00535559">
      <w:pPr>
        <w:jc w:val="center"/>
      </w:pPr>
    </w:p>
    <w:p w14:paraId="31D1FBF5" w14:textId="77777777" w:rsidR="00535559" w:rsidRPr="00115572" w:rsidRDefault="00535559" w:rsidP="00535559">
      <w:pPr>
        <w:jc w:val="center"/>
        <w:rPr>
          <w:b/>
        </w:rPr>
      </w:pPr>
    </w:p>
    <w:p w14:paraId="5FBBA5C4" w14:textId="77777777" w:rsidR="00535559" w:rsidRPr="00115572" w:rsidRDefault="00535559" w:rsidP="00535559">
      <w:pPr>
        <w:jc w:val="center"/>
        <w:rPr>
          <w:rFonts w:eastAsia="Malgun Gothic"/>
          <w:b/>
          <w:bCs/>
          <w:szCs w:val="22"/>
        </w:rPr>
      </w:pPr>
    </w:p>
    <w:p w14:paraId="3CD34026" w14:textId="77777777" w:rsidR="00535559" w:rsidRPr="00115572" w:rsidRDefault="00535559" w:rsidP="00535559">
      <w:pPr>
        <w:jc w:val="center"/>
        <w:rPr>
          <w:rFonts w:eastAsia="Malgun Gothic"/>
          <w:b/>
          <w:bCs/>
          <w:szCs w:val="22"/>
        </w:rPr>
      </w:pPr>
    </w:p>
    <w:p w14:paraId="0F50B385" w14:textId="77777777" w:rsidR="00535559" w:rsidRDefault="00535559" w:rsidP="00535559">
      <w:pPr>
        <w:jc w:val="center"/>
        <w:rPr>
          <w:rFonts w:eastAsia="Malgun Gothic"/>
          <w:b/>
          <w:bCs/>
          <w:szCs w:val="22"/>
        </w:rPr>
      </w:pPr>
    </w:p>
    <w:p w14:paraId="2603B442" w14:textId="77777777" w:rsidR="00535559" w:rsidRPr="00115572" w:rsidRDefault="00535559" w:rsidP="00535559">
      <w:pPr>
        <w:jc w:val="center"/>
        <w:rPr>
          <w:rFonts w:eastAsia="Malgun Gothic"/>
          <w:b/>
          <w:bCs/>
          <w:szCs w:val="22"/>
        </w:rPr>
      </w:pPr>
    </w:p>
    <w:p w14:paraId="772711A1" w14:textId="77777777" w:rsidR="00535559" w:rsidRPr="00115572" w:rsidRDefault="00535559" w:rsidP="00535559">
      <w:pPr>
        <w:jc w:val="center"/>
        <w:rPr>
          <w:rFonts w:eastAsia="Malgun Gothic"/>
          <w:b/>
          <w:bCs/>
          <w:szCs w:val="22"/>
        </w:rPr>
      </w:pPr>
    </w:p>
    <w:p w14:paraId="7C2B4B2E" w14:textId="77777777" w:rsidR="00005D74" w:rsidRDefault="00BF237A" w:rsidP="00535559">
      <w:pPr>
        <w:jc w:val="center"/>
        <w:rPr>
          <w:b/>
          <w:color w:val="000000"/>
          <w:shd w:val="clear" w:color="auto" w:fill="FFFFFF"/>
        </w:rPr>
      </w:pPr>
      <w:r>
        <w:rPr>
          <w:b/>
          <w:color w:val="000000"/>
          <w:shd w:val="clear" w:color="auto" w:fill="FFFFFF"/>
        </w:rPr>
        <w:t xml:space="preserve">SATRC </w:t>
      </w:r>
      <w:r w:rsidR="00470F7D" w:rsidRPr="00A84C1C">
        <w:rPr>
          <w:b/>
          <w:color w:val="000000"/>
          <w:shd w:val="clear" w:color="auto" w:fill="FFFFFF"/>
        </w:rPr>
        <w:t xml:space="preserve">REPORT ON </w:t>
      </w:r>
    </w:p>
    <w:p w14:paraId="50A810F9" w14:textId="23F00F76" w:rsidR="00535559" w:rsidRPr="00470F7D" w:rsidRDefault="00470F7D" w:rsidP="00535559">
      <w:pPr>
        <w:jc w:val="center"/>
        <w:rPr>
          <w:rFonts w:eastAsia="Malgun Gothic"/>
          <w:b/>
          <w:bCs/>
        </w:rPr>
      </w:pPr>
      <w:bookmarkStart w:id="0" w:name="_GoBack"/>
      <w:bookmarkEnd w:id="0"/>
      <w:r w:rsidRPr="00A84C1C">
        <w:rPr>
          <w:b/>
          <w:color w:val="000000"/>
          <w:shd w:val="clear" w:color="auto" w:fill="FFFFFF"/>
        </w:rPr>
        <w:t>DEVELOPING SPECTRUM ROADMAP IN SATRC COUNTRIES FOR FUTURE MOBILE BROADBAND</w:t>
      </w:r>
    </w:p>
    <w:p w14:paraId="5A9FFCFE" w14:textId="77777777" w:rsidR="00535559" w:rsidRPr="00115572" w:rsidRDefault="00535559" w:rsidP="00535559">
      <w:pPr>
        <w:jc w:val="center"/>
        <w:rPr>
          <w:rFonts w:eastAsia="Malgun Gothic"/>
          <w:b/>
          <w:bCs/>
          <w:sz w:val="28"/>
          <w:szCs w:val="22"/>
        </w:rPr>
      </w:pPr>
    </w:p>
    <w:p w14:paraId="6A9E7FA5" w14:textId="77777777" w:rsidR="001A1808" w:rsidRDefault="001A1808" w:rsidP="001A1808">
      <w:pPr>
        <w:jc w:val="center"/>
        <w:rPr>
          <w:b/>
        </w:rPr>
      </w:pPr>
    </w:p>
    <w:p w14:paraId="5D93D7F9" w14:textId="77777777" w:rsidR="001A1808" w:rsidRDefault="001A1808" w:rsidP="001A1808">
      <w:pPr>
        <w:jc w:val="center"/>
        <w:rPr>
          <w:b/>
        </w:rPr>
      </w:pPr>
    </w:p>
    <w:p w14:paraId="30CEED57" w14:textId="77777777" w:rsidR="001A1808" w:rsidRDefault="001A1808" w:rsidP="001A1808">
      <w:pPr>
        <w:jc w:val="center"/>
        <w:rPr>
          <w:b/>
        </w:rPr>
      </w:pPr>
      <w:r>
        <w:rPr>
          <w:b/>
        </w:rPr>
        <w:t xml:space="preserve">Prepared by </w:t>
      </w:r>
    </w:p>
    <w:p w14:paraId="0D73EE70" w14:textId="32A66CE2" w:rsidR="001A1808" w:rsidRDefault="001A1808" w:rsidP="001A1808">
      <w:pPr>
        <w:jc w:val="center"/>
        <w:rPr>
          <w:b/>
        </w:rPr>
      </w:pPr>
      <w:r>
        <w:rPr>
          <w:b/>
        </w:rPr>
        <w:t xml:space="preserve">SATRC </w:t>
      </w:r>
      <w:r w:rsidRPr="002D4EF2">
        <w:rPr>
          <w:b/>
        </w:rPr>
        <w:t xml:space="preserve">Working Group on </w:t>
      </w:r>
      <w:r>
        <w:rPr>
          <w:b/>
        </w:rPr>
        <w:t>Spectrum</w:t>
      </w:r>
    </w:p>
    <w:p w14:paraId="338EEB45" w14:textId="77777777" w:rsidR="001A1808" w:rsidRDefault="001A1808" w:rsidP="001A1808">
      <w:pPr>
        <w:jc w:val="center"/>
        <w:rPr>
          <w:b/>
        </w:rPr>
      </w:pPr>
    </w:p>
    <w:p w14:paraId="0CE492D5" w14:textId="77777777" w:rsidR="001A1808" w:rsidRDefault="001A1808" w:rsidP="001A1808">
      <w:pPr>
        <w:jc w:val="center"/>
        <w:rPr>
          <w:b/>
        </w:rPr>
      </w:pPr>
    </w:p>
    <w:p w14:paraId="37E1A3E9" w14:textId="77777777" w:rsidR="001A1808" w:rsidRDefault="001A1808" w:rsidP="001A1808">
      <w:pPr>
        <w:jc w:val="center"/>
        <w:rPr>
          <w:b/>
        </w:rPr>
      </w:pPr>
    </w:p>
    <w:p w14:paraId="6659F3C4" w14:textId="77777777" w:rsidR="001A1808" w:rsidRDefault="001A1808" w:rsidP="001A1808">
      <w:pPr>
        <w:jc w:val="center"/>
        <w:rPr>
          <w:b/>
        </w:rPr>
      </w:pPr>
    </w:p>
    <w:p w14:paraId="23E9830B" w14:textId="77777777" w:rsidR="001A1808" w:rsidRDefault="001A1808" w:rsidP="001A1808">
      <w:pPr>
        <w:jc w:val="center"/>
        <w:rPr>
          <w:b/>
        </w:rPr>
      </w:pPr>
    </w:p>
    <w:p w14:paraId="5054F27F" w14:textId="77777777" w:rsidR="001A1808" w:rsidRDefault="001A1808" w:rsidP="001A1808">
      <w:pPr>
        <w:jc w:val="center"/>
        <w:rPr>
          <w:b/>
        </w:rPr>
      </w:pPr>
    </w:p>
    <w:p w14:paraId="65E7C023" w14:textId="77777777" w:rsidR="001A1808" w:rsidRDefault="001A1808" w:rsidP="001A1808">
      <w:pPr>
        <w:jc w:val="center"/>
        <w:rPr>
          <w:b/>
        </w:rPr>
      </w:pPr>
    </w:p>
    <w:p w14:paraId="06C2DBEE" w14:textId="77777777" w:rsidR="001A1808" w:rsidRDefault="001A1808" w:rsidP="001A1808">
      <w:pPr>
        <w:jc w:val="center"/>
        <w:rPr>
          <w:bCs/>
          <w:color w:val="000000"/>
          <w:sz w:val="28"/>
          <w:szCs w:val="28"/>
        </w:rPr>
      </w:pPr>
      <w:r w:rsidRPr="009E2F25">
        <w:rPr>
          <w:bCs/>
          <w:color w:val="000000"/>
          <w:sz w:val="28"/>
          <w:szCs w:val="28"/>
        </w:rPr>
        <w:t>Adopted by</w:t>
      </w:r>
    </w:p>
    <w:p w14:paraId="7C7BEB6F" w14:textId="24EA39F6" w:rsidR="001A1808" w:rsidRPr="009E2F25" w:rsidRDefault="001A1808" w:rsidP="001A1808">
      <w:pPr>
        <w:jc w:val="center"/>
        <w:rPr>
          <w:b/>
          <w:color w:val="000000"/>
          <w:sz w:val="28"/>
          <w:szCs w:val="28"/>
        </w:rPr>
      </w:pPr>
      <w:r w:rsidRPr="009E2F25">
        <w:rPr>
          <w:b/>
          <w:color w:val="000000"/>
          <w:sz w:val="28"/>
          <w:szCs w:val="28"/>
        </w:rPr>
        <w:t>1</w:t>
      </w:r>
      <w:r>
        <w:rPr>
          <w:b/>
          <w:color w:val="000000"/>
          <w:sz w:val="28"/>
          <w:szCs w:val="28"/>
        </w:rPr>
        <w:t>9</w:t>
      </w:r>
      <w:r w:rsidR="00924C49">
        <w:rPr>
          <w:b/>
          <w:color w:val="000000"/>
          <w:sz w:val="28"/>
          <w:szCs w:val="28"/>
        </w:rPr>
        <w:t>th</w:t>
      </w:r>
      <w:r w:rsidRPr="009E2F25">
        <w:rPr>
          <w:b/>
          <w:color w:val="000000"/>
          <w:sz w:val="28"/>
          <w:szCs w:val="28"/>
        </w:rPr>
        <w:t xml:space="preserve"> Meeting of the South Asian Telecommunication</w:t>
      </w:r>
      <w:r>
        <w:rPr>
          <w:b/>
          <w:color w:val="000000"/>
          <w:sz w:val="28"/>
          <w:szCs w:val="28"/>
        </w:rPr>
        <w:t>s</w:t>
      </w:r>
      <w:r w:rsidRPr="009E2F25">
        <w:rPr>
          <w:b/>
          <w:color w:val="000000"/>
          <w:sz w:val="28"/>
          <w:szCs w:val="28"/>
        </w:rPr>
        <w:t xml:space="preserve"> Regulator’s Council</w:t>
      </w:r>
    </w:p>
    <w:p w14:paraId="46B982A0" w14:textId="39040772" w:rsidR="00535559" w:rsidRPr="00115572" w:rsidRDefault="001A1808" w:rsidP="001A1808">
      <w:pPr>
        <w:jc w:val="center"/>
        <w:rPr>
          <w:rFonts w:eastAsia="Malgun Gothic"/>
          <w:b/>
          <w:bCs/>
          <w:sz w:val="28"/>
          <w:szCs w:val="22"/>
        </w:rPr>
      </w:pPr>
      <w:r w:rsidRPr="009E2F25">
        <w:rPr>
          <w:bCs/>
          <w:color w:val="000000"/>
          <w:sz w:val="28"/>
          <w:szCs w:val="28"/>
        </w:rPr>
        <w:t>1</w:t>
      </w:r>
      <w:r>
        <w:rPr>
          <w:bCs/>
          <w:color w:val="000000"/>
          <w:sz w:val="28"/>
          <w:szCs w:val="28"/>
        </w:rPr>
        <w:t>3 – 15</w:t>
      </w:r>
      <w:r w:rsidRPr="009E2F25">
        <w:rPr>
          <w:bCs/>
          <w:color w:val="000000"/>
          <w:sz w:val="28"/>
          <w:szCs w:val="28"/>
        </w:rPr>
        <w:t xml:space="preserve"> </w:t>
      </w:r>
      <w:r>
        <w:rPr>
          <w:bCs/>
          <w:color w:val="000000"/>
          <w:sz w:val="28"/>
          <w:szCs w:val="28"/>
        </w:rPr>
        <w:t>December 2018</w:t>
      </w:r>
      <w:r w:rsidRPr="009E2F25">
        <w:rPr>
          <w:bCs/>
          <w:color w:val="000000"/>
          <w:sz w:val="28"/>
          <w:szCs w:val="28"/>
        </w:rPr>
        <w:t xml:space="preserve">, </w:t>
      </w:r>
      <w:r>
        <w:rPr>
          <w:bCs/>
          <w:color w:val="000000"/>
          <w:sz w:val="28"/>
          <w:szCs w:val="28"/>
        </w:rPr>
        <w:t>Islamabad, Pakistan</w:t>
      </w:r>
    </w:p>
    <w:p w14:paraId="55D5129C" w14:textId="77777777" w:rsidR="00535559" w:rsidRPr="00115572" w:rsidRDefault="00535559" w:rsidP="00535559">
      <w:pPr>
        <w:jc w:val="center"/>
        <w:rPr>
          <w:rFonts w:eastAsia="Malgun Gothic"/>
          <w:b/>
          <w:bCs/>
          <w:sz w:val="28"/>
          <w:szCs w:val="22"/>
        </w:rPr>
      </w:pPr>
    </w:p>
    <w:p w14:paraId="6A37C662" w14:textId="77777777" w:rsidR="00535559" w:rsidRPr="00115572" w:rsidRDefault="00535559" w:rsidP="00535559">
      <w:pPr>
        <w:jc w:val="center"/>
        <w:rPr>
          <w:rFonts w:eastAsia="Malgun Gothic"/>
          <w:b/>
          <w:bCs/>
          <w:sz w:val="28"/>
          <w:szCs w:val="22"/>
        </w:rPr>
      </w:pPr>
    </w:p>
    <w:p w14:paraId="78C28407" w14:textId="77777777" w:rsidR="00535559" w:rsidRPr="00115572" w:rsidRDefault="00535559" w:rsidP="00535559">
      <w:pPr>
        <w:jc w:val="center"/>
        <w:rPr>
          <w:rFonts w:eastAsia="Malgun Gothic"/>
          <w:b/>
          <w:bCs/>
          <w:sz w:val="28"/>
          <w:szCs w:val="22"/>
        </w:rPr>
      </w:pPr>
    </w:p>
    <w:p w14:paraId="594FE5FF" w14:textId="77777777" w:rsidR="00535559" w:rsidRPr="00115572" w:rsidRDefault="00535559" w:rsidP="00535559">
      <w:pPr>
        <w:jc w:val="center"/>
        <w:rPr>
          <w:rFonts w:eastAsia="Malgun Gothic"/>
          <w:b/>
          <w:bCs/>
          <w:sz w:val="28"/>
          <w:szCs w:val="22"/>
        </w:rPr>
      </w:pPr>
    </w:p>
    <w:p w14:paraId="69373F60" w14:textId="77777777" w:rsidR="00535559" w:rsidRPr="00115572" w:rsidRDefault="00535559" w:rsidP="00535559">
      <w:pPr>
        <w:jc w:val="center"/>
        <w:rPr>
          <w:rFonts w:eastAsia="Malgun Gothic"/>
          <w:b/>
          <w:bCs/>
          <w:sz w:val="28"/>
          <w:szCs w:val="22"/>
        </w:rPr>
      </w:pPr>
    </w:p>
    <w:p w14:paraId="07873A9E" w14:textId="77777777" w:rsidR="00535559" w:rsidRPr="00115572" w:rsidRDefault="00535559" w:rsidP="00535559">
      <w:pPr>
        <w:jc w:val="center"/>
        <w:rPr>
          <w:rFonts w:eastAsia="Malgun Gothic"/>
          <w:b/>
          <w:bCs/>
          <w:sz w:val="28"/>
          <w:szCs w:val="22"/>
        </w:rPr>
      </w:pPr>
    </w:p>
    <w:p w14:paraId="69E072B9" w14:textId="77777777" w:rsidR="00535559" w:rsidRPr="00115572" w:rsidRDefault="00535559" w:rsidP="00535559">
      <w:pPr>
        <w:jc w:val="center"/>
        <w:rPr>
          <w:rFonts w:eastAsia="Malgun Gothic"/>
          <w:b/>
          <w:bCs/>
          <w:sz w:val="28"/>
          <w:szCs w:val="22"/>
        </w:rPr>
      </w:pPr>
    </w:p>
    <w:p w14:paraId="629E0D4E" w14:textId="77777777" w:rsidR="00535559" w:rsidRPr="00115572" w:rsidRDefault="00535559" w:rsidP="00535559">
      <w:pPr>
        <w:jc w:val="center"/>
        <w:rPr>
          <w:rFonts w:eastAsia="Malgun Gothic"/>
          <w:b/>
          <w:bCs/>
          <w:sz w:val="28"/>
          <w:szCs w:val="22"/>
        </w:rPr>
      </w:pPr>
    </w:p>
    <w:p w14:paraId="64714AF7" w14:textId="77777777" w:rsidR="00535559" w:rsidRPr="00115572" w:rsidRDefault="00535559" w:rsidP="00535559">
      <w:pPr>
        <w:jc w:val="center"/>
        <w:rPr>
          <w:rFonts w:eastAsia="Malgun Gothic"/>
          <w:b/>
          <w:bCs/>
          <w:sz w:val="28"/>
          <w:szCs w:val="22"/>
        </w:rPr>
      </w:pPr>
    </w:p>
    <w:p w14:paraId="6955D991" w14:textId="77777777" w:rsidR="00535559" w:rsidRPr="00115572" w:rsidRDefault="00535559" w:rsidP="00535559">
      <w:pPr>
        <w:jc w:val="center"/>
        <w:rPr>
          <w:rFonts w:eastAsia="Malgun Gothic"/>
          <w:b/>
          <w:bCs/>
          <w:sz w:val="28"/>
          <w:szCs w:val="22"/>
        </w:rPr>
      </w:pPr>
    </w:p>
    <w:p w14:paraId="1D8888D6" w14:textId="77777777" w:rsidR="00535559" w:rsidRPr="00115572" w:rsidRDefault="00535559" w:rsidP="00535559">
      <w:pPr>
        <w:jc w:val="center"/>
        <w:rPr>
          <w:rFonts w:eastAsia="Malgun Gothic"/>
          <w:b/>
          <w:bCs/>
          <w:sz w:val="28"/>
          <w:szCs w:val="22"/>
        </w:rPr>
      </w:pPr>
    </w:p>
    <w:p w14:paraId="19F64892" w14:textId="77777777" w:rsidR="00535559" w:rsidRPr="00115572" w:rsidRDefault="00535559" w:rsidP="00535559">
      <w:pPr>
        <w:jc w:val="center"/>
        <w:rPr>
          <w:rFonts w:eastAsia="Malgun Gothic"/>
          <w:b/>
          <w:bCs/>
          <w:sz w:val="28"/>
          <w:szCs w:val="22"/>
        </w:rPr>
      </w:pPr>
    </w:p>
    <w:p w14:paraId="184ABFD0" w14:textId="77777777" w:rsidR="00535559" w:rsidRPr="00115572" w:rsidRDefault="00535559" w:rsidP="00535559">
      <w:pPr>
        <w:jc w:val="center"/>
        <w:rPr>
          <w:rFonts w:eastAsia="Malgun Gothic"/>
          <w:b/>
          <w:bCs/>
          <w:sz w:val="28"/>
          <w:szCs w:val="22"/>
        </w:rPr>
      </w:pPr>
    </w:p>
    <w:p w14:paraId="06AD5FF0" w14:textId="77777777" w:rsidR="00535559" w:rsidRPr="00115572" w:rsidRDefault="00535559" w:rsidP="00535559">
      <w:pPr>
        <w:jc w:val="both"/>
        <w:rPr>
          <w:rFonts w:eastAsia="Malgun Gothic"/>
          <w:b/>
          <w:bCs/>
          <w:sz w:val="28"/>
          <w:szCs w:val="22"/>
        </w:rPr>
      </w:pPr>
    </w:p>
    <w:p w14:paraId="34F018DA" w14:textId="77777777" w:rsidR="00535559" w:rsidRPr="00115572" w:rsidRDefault="00535559" w:rsidP="00535559">
      <w:pPr>
        <w:jc w:val="both"/>
        <w:rPr>
          <w:rFonts w:eastAsia="Malgun Gothic"/>
          <w:b/>
          <w:bCs/>
          <w:sz w:val="28"/>
          <w:szCs w:val="22"/>
        </w:rPr>
      </w:pPr>
    </w:p>
    <w:p w14:paraId="79F6328B" w14:textId="77777777" w:rsidR="00535559" w:rsidRPr="00115572" w:rsidRDefault="00535559" w:rsidP="00535559">
      <w:pPr>
        <w:jc w:val="both"/>
        <w:rPr>
          <w:rFonts w:eastAsia="Malgun Gothic"/>
          <w:b/>
          <w:bCs/>
          <w:sz w:val="28"/>
          <w:szCs w:val="22"/>
        </w:rPr>
      </w:pPr>
    </w:p>
    <w:p w14:paraId="74FDE60B" w14:textId="77777777" w:rsidR="00535559" w:rsidRDefault="00535559" w:rsidP="00535559">
      <w:pPr>
        <w:jc w:val="both"/>
        <w:rPr>
          <w:rFonts w:eastAsia="Malgun Gothic"/>
          <w:b/>
          <w:bCs/>
          <w:sz w:val="28"/>
          <w:szCs w:val="22"/>
        </w:rPr>
      </w:pPr>
    </w:p>
    <w:p w14:paraId="4B6F3566" w14:textId="77777777" w:rsidR="00535559" w:rsidRDefault="00535559" w:rsidP="00535559">
      <w:pPr>
        <w:spacing w:line="360" w:lineRule="auto"/>
        <w:jc w:val="both"/>
        <w:rPr>
          <w:rFonts w:eastAsia="Malgun Gothic"/>
          <w:b/>
          <w:sz w:val="28"/>
          <w:szCs w:val="28"/>
          <w:lang w:eastAsia="ko-KR"/>
        </w:rPr>
      </w:pPr>
    </w:p>
    <w:p w14:paraId="4A86B173" w14:textId="77777777" w:rsidR="001A1808" w:rsidRDefault="001A1808" w:rsidP="00535559">
      <w:pPr>
        <w:spacing w:line="360" w:lineRule="auto"/>
        <w:jc w:val="both"/>
        <w:rPr>
          <w:rFonts w:eastAsia="Malgun Gothic"/>
          <w:b/>
          <w:sz w:val="28"/>
          <w:szCs w:val="28"/>
          <w:lang w:eastAsia="ko-KR"/>
        </w:rPr>
      </w:pPr>
    </w:p>
    <w:p w14:paraId="2C527008" w14:textId="77777777" w:rsidR="001A1808" w:rsidRDefault="001A1808" w:rsidP="00535559">
      <w:pPr>
        <w:spacing w:line="360" w:lineRule="auto"/>
        <w:jc w:val="both"/>
        <w:rPr>
          <w:rFonts w:eastAsia="Malgun Gothic"/>
          <w:b/>
          <w:sz w:val="28"/>
          <w:szCs w:val="28"/>
          <w:lang w:eastAsia="ko-KR"/>
        </w:rPr>
      </w:pPr>
    </w:p>
    <w:p w14:paraId="71A0A1EB" w14:textId="77777777" w:rsidR="001A1808" w:rsidRDefault="001A1808" w:rsidP="00535559">
      <w:pPr>
        <w:spacing w:line="360" w:lineRule="auto"/>
        <w:jc w:val="both"/>
        <w:rPr>
          <w:rFonts w:eastAsia="Malgun Gothic"/>
          <w:b/>
          <w:sz w:val="28"/>
          <w:szCs w:val="28"/>
          <w:lang w:eastAsia="ko-KR"/>
        </w:rPr>
      </w:pPr>
    </w:p>
    <w:p w14:paraId="04605835" w14:textId="77777777" w:rsidR="00535559" w:rsidRPr="00115572" w:rsidRDefault="00535559" w:rsidP="00535559">
      <w:pPr>
        <w:jc w:val="both"/>
        <w:rPr>
          <w:rFonts w:eastAsia="Malgun Gothic"/>
          <w:b/>
          <w:bCs/>
          <w:sz w:val="28"/>
          <w:szCs w:val="22"/>
        </w:rPr>
      </w:pPr>
    </w:p>
    <w:sdt>
      <w:sdtPr>
        <w:rPr>
          <w:rFonts w:ascii="Times New Roman" w:eastAsia="BatangChe" w:hAnsi="Times New Roman" w:cs="Times New Roman"/>
          <w:b w:val="0"/>
          <w:bCs w:val="0"/>
          <w:color w:val="auto"/>
          <w:lang w:bidi="ar-SA"/>
        </w:rPr>
        <w:id w:val="1931769955"/>
        <w:docPartObj>
          <w:docPartGallery w:val="Table of Contents"/>
          <w:docPartUnique/>
        </w:docPartObj>
      </w:sdtPr>
      <w:sdtEndPr>
        <w:rPr>
          <w:noProof/>
        </w:rPr>
      </w:sdtEndPr>
      <w:sdtContent>
        <w:p w14:paraId="68BBA8C7" w14:textId="5A819DDF" w:rsidR="00697E2A" w:rsidRDefault="00697E2A">
          <w:pPr>
            <w:pStyle w:val="TOCHeading"/>
          </w:pPr>
          <w:r>
            <w:t>Table of Contents</w:t>
          </w:r>
        </w:p>
        <w:p w14:paraId="12BA34E2" w14:textId="5DF64313" w:rsidR="00697E2A" w:rsidRDefault="00697E2A">
          <w:pPr>
            <w:pStyle w:val="TOC1"/>
            <w:rPr>
              <w:rFonts w:asciiTheme="minorHAnsi" w:eastAsiaTheme="minorEastAsia" w:hAnsiTheme="minorHAnsi"/>
              <w:b w:val="0"/>
            </w:rPr>
          </w:pPr>
          <w:r>
            <w:rPr>
              <w:bCs/>
            </w:rPr>
            <w:fldChar w:fldCharType="begin"/>
          </w:r>
          <w:r>
            <w:rPr>
              <w:bCs/>
            </w:rPr>
            <w:instrText xml:space="preserve"> TOC \o "1-3" \h \z \u </w:instrText>
          </w:r>
          <w:r>
            <w:rPr>
              <w:bCs/>
            </w:rPr>
            <w:fldChar w:fldCharType="separate"/>
          </w:r>
        </w:p>
        <w:p w14:paraId="0C8B6BEA" w14:textId="77777777" w:rsidR="00697E2A" w:rsidRDefault="004D3BB1">
          <w:pPr>
            <w:pStyle w:val="TOC1"/>
            <w:rPr>
              <w:rFonts w:asciiTheme="minorHAnsi" w:eastAsiaTheme="minorEastAsia" w:hAnsiTheme="minorHAnsi"/>
              <w:b w:val="0"/>
            </w:rPr>
          </w:pPr>
          <w:hyperlink w:anchor="_Toc532128930" w:history="1">
            <w:r w:rsidR="00697E2A" w:rsidRPr="00D07293">
              <w:rPr>
                <w:rStyle w:val="Hyperlink"/>
                <w:rFonts w:ascii="Times New Roman" w:eastAsia="Malgun Gothic" w:hAnsi="Times New Roman" w:cs="Times New Roman"/>
              </w:rPr>
              <w:t>EXECUTIVE SUMMARY</w:t>
            </w:r>
            <w:r w:rsidR="00697E2A">
              <w:rPr>
                <w:webHidden/>
              </w:rPr>
              <w:tab/>
            </w:r>
            <w:r w:rsidR="00697E2A">
              <w:rPr>
                <w:webHidden/>
              </w:rPr>
              <w:fldChar w:fldCharType="begin"/>
            </w:r>
            <w:r w:rsidR="00697E2A">
              <w:rPr>
                <w:webHidden/>
              </w:rPr>
              <w:instrText xml:space="preserve"> PAGEREF _Toc532128930 \h </w:instrText>
            </w:r>
            <w:r w:rsidR="00697E2A">
              <w:rPr>
                <w:webHidden/>
              </w:rPr>
            </w:r>
            <w:r w:rsidR="00697E2A">
              <w:rPr>
                <w:webHidden/>
              </w:rPr>
              <w:fldChar w:fldCharType="separate"/>
            </w:r>
            <w:r w:rsidR="00593AE3">
              <w:rPr>
                <w:webHidden/>
              </w:rPr>
              <w:t>3</w:t>
            </w:r>
            <w:r w:rsidR="00697E2A">
              <w:rPr>
                <w:webHidden/>
              </w:rPr>
              <w:fldChar w:fldCharType="end"/>
            </w:r>
          </w:hyperlink>
        </w:p>
        <w:p w14:paraId="5BB7B11E" w14:textId="77777777" w:rsidR="00697E2A" w:rsidRDefault="004D3BB1">
          <w:pPr>
            <w:pStyle w:val="TOC1"/>
            <w:rPr>
              <w:rFonts w:asciiTheme="minorHAnsi" w:eastAsiaTheme="minorEastAsia" w:hAnsiTheme="minorHAnsi"/>
              <w:b w:val="0"/>
            </w:rPr>
          </w:pPr>
          <w:hyperlink w:anchor="_Toc532128931" w:history="1">
            <w:r w:rsidR="00697E2A" w:rsidRPr="00D07293">
              <w:rPr>
                <w:rStyle w:val="Hyperlink"/>
                <w:rFonts w:ascii="Times New Roman" w:eastAsia="Malgun Gothic" w:hAnsi="Times New Roman" w:cs="Times New Roman"/>
                <w:lang w:eastAsia="ko-KR"/>
              </w:rPr>
              <w:t>1. Introduction</w:t>
            </w:r>
            <w:r w:rsidR="00697E2A">
              <w:rPr>
                <w:webHidden/>
              </w:rPr>
              <w:tab/>
            </w:r>
            <w:r w:rsidR="00697E2A">
              <w:rPr>
                <w:webHidden/>
              </w:rPr>
              <w:fldChar w:fldCharType="begin"/>
            </w:r>
            <w:r w:rsidR="00697E2A">
              <w:rPr>
                <w:webHidden/>
              </w:rPr>
              <w:instrText xml:space="preserve"> PAGEREF _Toc532128931 \h </w:instrText>
            </w:r>
            <w:r w:rsidR="00697E2A">
              <w:rPr>
                <w:webHidden/>
              </w:rPr>
            </w:r>
            <w:r w:rsidR="00697E2A">
              <w:rPr>
                <w:webHidden/>
              </w:rPr>
              <w:fldChar w:fldCharType="separate"/>
            </w:r>
            <w:r w:rsidR="00593AE3">
              <w:rPr>
                <w:webHidden/>
              </w:rPr>
              <w:t>4</w:t>
            </w:r>
            <w:r w:rsidR="00697E2A">
              <w:rPr>
                <w:webHidden/>
              </w:rPr>
              <w:fldChar w:fldCharType="end"/>
            </w:r>
          </w:hyperlink>
        </w:p>
        <w:p w14:paraId="3112C62F" w14:textId="77777777" w:rsidR="00697E2A" w:rsidRDefault="004D3BB1">
          <w:pPr>
            <w:pStyle w:val="TOC2"/>
            <w:rPr>
              <w:rFonts w:asciiTheme="minorHAnsi" w:eastAsiaTheme="minorEastAsia" w:hAnsiTheme="minorHAnsi" w:cstheme="minorBidi"/>
              <w:lang w:eastAsia="en-US"/>
            </w:rPr>
          </w:pPr>
          <w:hyperlink w:anchor="_Toc532128932" w:history="1">
            <w:r w:rsidR="00697E2A" w:rsidRPr="00D07293">
              <w:rPr>
                <w:rStyle w:val="Hyperlink"/>
                <w:rFonts w:ascii="Times New Roman" w:eastAsia="Malgun Gothic" w:hAnsi="Times New Roman"/>
              </w:rPr>
              <w:t>1.1 Rationality</w:t>
            </w:r>
            <w:r w:rsidR="00697E2A">
              <w:rPr>
                <w:webHidden/>
              </w:rPr>
              <w:tab/>
            </w:r>
            <w:r w:rsidR="00697E2A">
              <w:rPr>
                <w:webHidden/>
              </w:rPr>
              <w:fldChar w:fldCharType="begin"/>
            </w:r>
            <w:r w:rsidR="00697E2A">
              <w:rPr>
                <w:webHidden/>
              </w:rPr>
              <w:instrText xml:space="preserve"> PAGEREF _Toc532128932 \h </w:instrText>
            </w:r>
            <w:r w:rsidR="00697E2A">
              <w:rPr>
                <w:webHidden/>
              </w:rPr>
            </w:r>
            <w:r w:rsidR="00697E2A">
              <w:rPr>
                <w:webHidden/>
              </w:rPr>
              <w:fldChar w:fldCharType="separate"/>
            </w:r>
            <w:r w:rsidR="00593AE3">
              <w:rPr>
                <w:webHidden/>
              </w:rPr>
              <w:t>4</w:t>
            </w:r>
            <w:r w:rsidR="00697E2A">
              <w:rPr>
                <w:webHidden/>
              </w:rPr>
              <w:fldChar w:fldCharType="end"/>
            </w:r>
          </w:hyperlink>
        </w:p>
        <w:p w14:paraId="3849BD56" w14:textId="77777777" w:rsidR="00697E2A" w:rsidRDefault="004D3BB1">
          <w:pPr>
            <w:pStyle w:val="TOC1"/>
            <w:rPr>
              <w:rFonts w:asciiTheme="minorHAnsi" w:eastAsiaTheme="minorEastAsia" w:hAnsiTheme="minorHAnsi"/>
              <w:b w:val="0"/>
            </w:rPr>
          </w:pPr>
          <w:hyperlink w:anchor="_Toc532128933" w:history="1">
            <w:r w:rsidR="00697E2A" w:rsidRPr="00D07293">
              <w:rPr>
                <w:rStyle w:val="Hyperlink"/>
                <w:rFonts w:ascii="Times New Roman" w:hAnsi="Times New Roman" w:cs="Times New Roman"/>
                <w:lang w:val="en-GB" w:eastAsia="ko-KR" w:bidi="si-LK"/>
              </w:rPr>
              <w:t>2. Developing Spectrum Roadmap for Mobile Broadband</w:t>
            </w:r>
            <w:r w:rsidR="00697E2A">
              <w:rPr>
                <w:webHidden/>
              </w:rPr>
              <w:tab/>
            </w:r>
            <w:r w:rsidR="00697E2A">
              <w:rPr>
                <w:webHidden/>
              </w:rPr>
              <w:fldChar w:fldCharType="begin"/>
            </w:r>
            <w:r w:rsidR="00697E2A">
              <w:rPr>
                <w:webHidden/>
              </w:rPr>
              <w:instrText xml:space="preserve"> PAGEREF _Toc532128933 \h </w:instrText>
            </w:r>
            <w:r w:rsidR="00697E2A">
              <w:rPr>
                <w:webHidden/>
              </w:rPr>
            </w:r>
            <w:r w:rsidR="00697E2A">
              <w:rPr>
                <w:webHidden/>
              </w:rPr>
              <w:fldChar w:fldCharType="separate"/>
            </w:r>
            <w:r w:rsidR="00593AE3">
              <w:rPr>
                <w:webHidden/>
              </w:rPr>
              <w:t>5</w:t>
            </w:r>
            <w:r w:rsidR="00697E2A">
              <w:rPr>
                <w:webHidden/>
              </w:rPr>
              <w:fldChar w:fldCharType="end"/>
            </w:r>
          </w:hyperlink>
        </w:p>
        <w:p w14:paraId="7FF151EC" w14:textId="77777777" w:rsidR="00697E2A" w:rsidRDefault="004D3BB1">
          <w:pPr>
            <w:pStyle w:val="TOC2"/>
            <w:rPr>
              <w:rFonts w:asciiTheme="minorHAnsi" w:eastAsiaTheme="minorEastAsia" w:hAnsiTheme="minorHAnsi" w:cstheme="minorBidi"/>
              <w:lang w:eastAsia="en-US"/>
            </w:rPr>
          </w:pPr>
          <w:hyperlink w:anchor="_Toc532128934" w:history="1">
            <w:r w:rsidR="00697E2A" w:rsidRPr="00D07293">
              <w:rPr>
                <w:rStyle w:val="Hyperlink"/>
                <w:rFonts w:ascii="Times New Roman" w:hAnsi="Times New Roman"/>
                <w:lang w:val="en-GB" w:bidi="si-LK"/>
              </w:rPr>
              <w:t>2.1 Method</w:t>
            </w:r>
            <w:r w:rsidR="00697E2A">
              <w:rPr>
                <w:webHidden/>
              </w:rPr>
              <w:tab/>
            </w:r>
            <w:r w:rsidR="00697E2A">
              <w:rPr>
                <w:webHidden/>
              </w:rPr>
              <w:fldChar w:fldCharType="begin"/>
            </w:r>
            <w:r w:rsidR="00697E2A">
              <w:rPr>
                <w:webHidden/>
              </w:rPr>
              <w:instrText xml:space="preserve"> PAGEREF _Toc532128934 \h </w:instrText>
            </w:r>
            <w:r w:rsidR="00697E2A">
              <w:rPr>
                <w:webHidden/>
              </w:rPr>
            </w:r>
            <w:r w:rsidR="00697E2A">
              <w:rPr>
                <w:webHidden/>
              </w:rPr>
              <w:fldChar w:fldCharType="separate"/>
            </w:r>
            <w:r w:rsidR="00593AE3">
              <w:rPr>
                <w:webHidden/>
              </w:rPr>
              <w:t>5</w:t>
            </w:r>
            <w:r w:rsidR="00697E2A">
              <w:rPr>
                <w:webHidden/>
              </w:rPr>
              <w:fldChar w:fldCharType="end"/>
            </w:r>
          </w:hyperlink>
        </w:p>
        <w:p w14:paraId="67E0C816" w14:textId="77777777" w:rsidR="00697E2A" w:rsidRDefault="004D3BB1">
          <w:pPr>
            <w:pStyle w:val="TOC2"/>
            <w:rPr>
              <w:rFonts w:asciiTheme="minorHAnsi" w:eastAsiaTheme="minorEastAsia" w:hAnsiTheme="minorHAnsi" w:cstheme="minorBidi"/>
              <w:lang w:eastAsia="en-US"/>
            </w:rPr>
          </w:pPr>
          <w:hyperlink w:anchor="_Toc532128935" w:history="1">
            <w:r w:rsidR="00697E2A" w:rsidRPr="00D07293">
              <w:rPr>
                <w:rStyle w:val="Hyperlink"/>
                <w:rFonts w:ascii="Times New Roman" w:hAnsi="Times New Roman"/>
                <w:lang w:val="en-GB" w:bidi="si-LK"/>
              </w:rPr>
              <w:t>2.2 Activities</w:t>
            </w:r>
            <w:r w:rsidR="00697E2A">
              <w:rPr>
                <w:webHidden/>
              </w:rPr>
              <w:tab/>
            </w:r>
            <w:r w:rsidR="00697E2A">
              <w:rPr>
                <w:webHidden/>
              </w:rPr>
              <w:fldChar w:fldCharType="begin"/>
            </w:r>
            <w:r w:rsidR="00697E2A">
              <w:rPr>
                <w:webHidden/>
              </w:rPr>
              <w:instrText xml:space="preserve"> PAGEREF _Toc532128935 \h </w:instrText>
            </w:r>
            <w:r w:rsidR="00697E2A">
              <w:rPr>
                <w:webHidden/>
              </w:rPr>
            </w:r>
            <w:r w:rsidR="00697E2A">
              <w:rPr>
                <w:webHidden/>
              </w:rPr>
              <w:fldChar w:fldCharType="separate"/>
            </w:r>
            <w:r w:rsidR="00593AE3">
              <w:rPr>
                <w:webHidden/>
              </w:rPr>
              <w:t>5</w:t>
            </w:r>
            <w:r w:rsidR="00697E2A">
              <w:rPr>
                <w:webHidden/>
              </w:rPr>
              <w:fldChar w:fldCharType="end"/>
            </w:r>
          </w:hyperlink>
        </w:p>
        <w:p w14:paraId="3568EFDA" w14:textId="77777777" w:rsidR="00697E2A" w:rsidRDefault="004D3BB1">
          <w:pPr>
            <w:pStyle w:val="TOC3"/>
            <w:rPr>
              <w:rFonts w:asciiTheme="minorHAnsi" w:eastAsiaTheme="minorEastAsia" w:hAnsiTheme="minorHAnsi"/>
              <w:noProof/>
              <w:sz w:val="22"/>
            </w:rPr>
          </w:pPr>
          <w:hyperlink w:anchor="_Toc532128936" w:history="1">
            <w:r w:rsidR="00697E2A" w:rsidRPr="00D07293">
              <w:rPr>
                <w:rStyle w:val="Hyperlink"/>
                <w:rFonts w:ascii="Times New Roman" w:hAnsi="Times New Roman" w:cs="Times New Roman"/>
                <w:noProof/>
                <w:lang w:val="en-GB" w:eastAsia="ko-KR" w:bidi="si-LK"/>
              </w:rPr>
              <w:t>2.2.1       Planning</w:t>
            </w:r>
            <w:r w:rsidR="00697E2A">
              <w:rPr>
                <w:noProof/>
                <w:webHidden/>
              </w:rPr>
              <w:tab/>
            </w:r>
            <w:r w:rsidR="00697E2A">
              <w:rPr>
                <w:noProof/>
                <w:webHidden/>
              </w:rPr>
              <w:fldChar w:fldCharType="begin"/>
            </w:r>
            <w:r w:rsidR="00697E2A">
              <w:rPr>
                <w:noProof/>
                <w:webHidden/>
              </w:rPr>
              <w:instrText xml:space="preserve"> PAGEREF _Toc532128936 \h </w:instrText>
            </w:r>
            <w:r w:rsidR="00697E2A">
              <w:rPr>
                <w:noProof/>
                <w:webHidden/>
              </w:rPr>
            </w:r>
            <w:r w:rsidR="00697E2A">
              <w:rPr>
                <w:noProof/>
                <w:webHidden/>
              </w:rPr>
              <w:fldChar w:fldCharType="separate"/>
            </w:r>
            <w:r w:rsidR="00593AE3">
              <w:rPr>
                <w:noProof/>
                <w:webHidden/>
              </w:rPr>
              <w:t>5</w:t>
            </w:r>
            <w:r w:rsidR="00697E2A">
              <w:rPr>
                <w:noProof/>
                <w:webHidden/>
              </w:rPr>
              <w:fldChar w:fldCharType="end"/>
            </w:r>
          </w:hyperlink>
        </w:p>
        <w:p w14:paraId="15C63B57" w14:textId="77777777" w:rsidR="00697E2A" w:rsidRDefault="004D3BB1">
          <w:pPr>
            <w:pStyle w:val="TOC3"/>
            <w:rPr>
              <w:rFonts w:asciiTheme="minorHAnsi" w:eastAsiaTheme="minorEastAsia" w:hAnsiTheme="minorHAnsi"/>
              <w:noProof/>
              <w:sz w:val="22"/>
            </w:rPr>
          </w:pPr>
          <w:hyperlink w:anchor="_Toc532128937" w:history="1">
            <w:r w:rsidR="00697E2A" w:rsidRPr="00D07293">
              <w:rPr>
                <w:rStyle w:val="Hyperlink"/>
                <w:rFonts w:ascii="Times New Roman" w:hAnsi="Times New Roman" w:cs="Times New Roman"/>
                <w:noProof/>
                <w:lang w:val="en-GB" w:eastAsia="ko-KR" w:bidi="si-LK"/>
              </w:rPr>
              <w:t xml:space="preserve">2.2.2 </w:t>
            </w:r>
            <w:r w:rsidR="00697E2A">
              <w:rPr>
                <w:rFonts w:asciiTheme="minorHAnsi" w:eastAsiaTheme="minorEastAsia" w:hAnsiTheme="minorHAnsi"/>
                <w:noProof/>
                <w:sz w:val="22"/>
              </w:rPr>
              <w:tab/>
            </w:r>
            <w:r w:rsidR="00697E2A" w:rsidRPr="00D07293">
              <w:rPr>
                <w:rStyle w:val="Hyperlink"/>
                <w:rFonts w:ascii="Times New Roman" w:hAnsi="Times New Roman" w:cs="Times New Roman"/>
                <w:noProof/>
                <w:lang w:val="en-GB" w:eastAsia="ko-KR" w:bidi="si-LK"/>
              </w:rPr>
              <w:t xml:space="preserve">    Allocation</w:t>
            </w:r>
            <w:r w:rsidR="00697E2A">
              <w:rPr>
                <w:noProof/>
                <w:webHidden/>
              </w:rPr>
              <w:tab/>
            </w:r>
            <w:r w:rsidR="00697E2A">
              <w:rPr>
                <w:noProof/>
                <w:webHidden/>
              </w:rPr>
              <w:fldChar w:fldCharType="begin"/>
            </w:r>
            <w:r w:rsidR="00697E2A">
              <w:rPr>
                <w:noProof/>
                <w:webHidden/>
              </w:rPr>
              <w:instrText xml:space="preserve"> PAGEREF _Toc532128937 \h </w:instrText>
            </w:r>
            <w:r w:rsidR="00697E2A">
              <w:rPr>
                <w:noProof/>
                <w:webHidden/>
              </w:rPr>
            </w:r>
            <w:r w:rsidR="00697E2A">
              <w:rPr>
                <w:noProof/>
                <w:webHidden/>
              </w:rPr>
              <w:fldChar w:fldCharType="separate"/>
            </w:r>
            <w:r w:rsidR="00593AE3">
              <w:rPr>
                <w:noProof/>
                <w:webHidden/>
              </w:rPr>
              <w:t>6</w:t>
            </w:r>
            <w:r w:rsidR="00697E2A">
              <w:rPr>
                <w:noProof/>
                <w:webHidden/>
              </w:rPr>
              <w:fldChar w:fldCharType="end"/>
            </w:r>
          </w:hyperlink>
        </w:p>
        <w:p w14:paraId="70DF3478" w14:textId="77777777" w:rsidR="00697E2A" w:rsidRDefault="004D3BB1">
          <w:pPr>
            <w:pStyle w:val="TOC3"/>
            <w:rPr>
              <w:rFonts w:asciiTheme="minorHAnsi" w:eastAsiaTheme="minorEastAsia" w:hAnsiTheme="minorHAnsi"/>
              <w:noProof/>
              <w:sz w:val="22"/>
            </w:rPr>
          </w:pPr>
          <w:hyperlink w:anchor="_Toc532128938" w:history="1">
            <w:r w:rsidR="00697E2A" w:rsidRPr="00D07293">
              <w:rPr>
                <w:rStyle w:val="Hyperlink"/>
                <w:rFonts w:ascii="Times New Roman" w:hAnsi="Times New Roman" w:cs="Times New Roman"/>
                <w:noProof/>
                <w:lang w:val="en-GB" w:eastAsia="ko-KR" w:bidi="si-LK"/>
              </w:rPr>
              <w:t xml:space="preserve">2.2.3 </w:t>
            </w:r>
            <w:r w:rsidR="00697E2A">
              <w:rPr>
                <w:rFonts w:asciiTheme="minorHAnsi" w:eastAsiaTheme="minorEastAsia" w:hAnsiTheme="minorHAnsi"/>
                <w:noProof/>
                <w:sz w:val="22"/>
              </w:rPr>
              <w:tab/>
            </w:r>
            <w:r w:rsidR="00697E2A" w:rsidRPr="00D07293">
              <w:rPr>
                <w:rStyle w:val="Hyperlink"/>
                <w:rFonts w:ascii="Times New Roman" w:hAnsi="Times New Roman" w:cs="Times New Roman"/>
                <w:noProof/>
                <w:lang w:val="en-GB" w:eastAsia="ko-KR" w:bidi="si-LK"/>
              </w:rPr>
              <w:t xml:space="preserve">      Regulatory Review</w:t>
            </w:r>
            <w:r w:rsidR="00697E2A">
              <w:rPr>
                <w:noProof/>
                <w:webHidden/>
              </w:rPr>
              <w:tab/>
            </w:r>
            <w:r w:rsidR="00697E2A">
              <w:rPr>
                <w:noProof/>
                <w:webHidden/>
              </w:rPr>
              <w:fldChar w:fldCharType="begin"/>
            </w:r>
            <w:r w:rsidR="00697E2A">
              <w:rPr>
                <w:noProof/>
                <w:webHidden/>
              </w:rPr>
              <w:instrText xml:space="preserve"> PAGEREF _Toc532128938 \h </w:instrText>
            </w:r>
            <w:r w:rsidR="00697E2A">
              <w:rPr>
                <w:noProof/>
                <w:webHidden/>
              </w:rPr>
            </w:r>
            <w:r w:rsidR="00697E2A">
              <w:rPr>
                <w:noProof/>
                <w:webHidden/>
              </w:rPr>
              <w:fldChar w:fldCharType="separate"/>
            </w:r>
            <w:r w:rsidR="00593AE3">
              <w:rPr>
                <w:noProof/>
                <w:webHidden/>
              </w:rPr>
              <w:t>6</w:t>
            </w:r>
            <w:r w:rsidR="00697E2A">
              <w:rPr>
                <w:noProof/>
                <w:webHidden/>
              </w:rPr>
              <w:fldChar w:fldCharType="end"/>
            </w:r>
          </w:hyperlink>
        </w:p>
        <w:p w14:paraId="3DECE4D1" w14:textId="77777777" w:rsidR="00697E2A" w:rsidRDefault="004D3BB1">
          <w:pPr>
            <w:pStyle w:val="TOC3"/>
            <w:rPr>
              <w:rFonts w:asciiTheme="minorHAnsi" w:eastAsiaTheme="minorEastAsia" w:hAnsiTheme="minorHAnsi"/>
              <w:noProof/>
              <w:sz w:val="22"/>
            </w:rPr>
          </w:pPr>
          <w:hyperlink w:anchor="_Toc532128939" w:history="1">
            <w:r w:rsidR="00697E2A" w:rsidRPr="00D07293">
              <w:rPr>
                <w:rStyle w:val="Hyperlink"/>
                <w:rFonts w:ascii="Times New Roman" w:hAnsi="Times New Roman" w:cs="Times New Roman"/>
                <w:noProof/>
                <w:lang w:val="en-GB" w:eastAsia="ko-KR" w:bidi="si-LK"/>
              </w:rPr>
              <w:t xml:space="preserve">2.2.4 </w:t>
            </w:r>
            <w:r w:rsidR="00697E2A">
              <w:rPr>
                <w:rFonts w:asciiTheme="minorHAnsi" w:eastAsiaTheme="minorEastAsia" w:hAnsiTheme="minorHAnsi"/>
                <w:noProof/>
                <w:sz w:val="22"/>
              </w:rPr>
              <w:tab/>
            </w:r>
            <w:r w:rsidR="00697E2A" w:rsidRPr="00D07293">
              <w:rPr>
                <w:rStyle w:val="Hyperlink"/>
                <w:rFonts w:ascii="Times New Roman" w:hAnsi="Times New Roman" w:cs="Times New Roman"/>
                <w:noProof/>
                <w:lang w:val="en-GB" w:eastAsia="ko-KR" w:bidi="si-LK"/>
              </w:rPr>
              <w:t xml:space="preserve">      Pricing</w:t>
            </w:r>
            <w:r w:rsidR="00697E2A">
              <w:rPr>
                <w:noProof/>
                <w:webHidden/>
              </w:rPr>
              <w:tab/>
            </w:r>
            <w:r w:rsidR="00697E2A">
              <w:rPr>
                <w:noProof/>
                <w:webHidden/>
              </w:rPr>
              <w:fldChar w:fldCharType="begin"/>
            </w:r>
            <w:r w:rsidR="00697E2A">
              <w:rPr>
                <w:noProof/>
                <w:webHidden/>
              </w:rPr>
              <w:instrText xml:space="preserve"> PAGEREF _Toc532128939 \h </w:instrText>
            </w:r>
            <w:r w:rsidR="00697E2A">
              <w:rPr>
                <w:noProof/>
                <w:webHidden/>
              </w:rPr>
            </w:r>
            <w:r w:rsidR="00697E2A">
              <w:rPr>
                <w:noProof/>
                <w:webHidden/>
              </w:rPr>
              <w:fldChar w:fldCharType="separate"/>
            </w:r>
            <w:r w:rsidR="00593AE3">
              <w:rPr>
                <w:noProof/>
                <w:webHidden/>
              </w:rPr>
              <w:t>7</w:t>
            </w:r>
            <w:r w:rsidR="00697E2A">
              <w:rPr>
                <w:noProof/>
                <w:webHidden/>
              </w:rPr>
              <w:fldChar w:fldCharType="end"/>
            </w:r>
          </w:hyperlink>
        </w:p>
        <w:p w14:paraId="4412FE44" w14:textId="77777777" w:rsidR="00697E2A" w:rsidRDefault="004D3BB1">
          <w:pPr>
            <w:pStyle w:val="TOC3"/>
            <w:rPr>
              <w:rFonts w:asciiTheme="minorHAnsi" w:eastAsiaTheme="minorEastAsia" w:hAnsiTheme="minorHAnsi"/>
              <w:noProof/>
              <w:sz w:val="22"/>
            </w:rPr>
          </w:pPr>
          <w:hyperlink w:anchor="_Toc532128940" w:history="1">
            <w:r w:rsidR="00697E2A" w:rsidRPr="00D07293">
              <w:rPr>
                <w:rStyle w:val="Hyperlink"/>
                <w:rFonts w:ascii="Times New Roman" w:hAnsi="Times New Roman" w:cs="Times New Roman"/>
                <w:noProof/>
                <w:lang w:val="en-GB" w:eastAsia="ko-KR" w:bidi="si-LK"/>
              </w:rPr>
              <w:t xml:space="preserve">2.2.5 </w:t>
            </w:r>
            <w:r w:rsidR="00697E2A">
              <w:rPr>
                <w:rFonts w:asciiTheme="minorHAnsi" w:eastAsiaTheme="minorEastAsia" w:hAnsiTheme="minorHAnsi"/>
                <w:noProof/>
                <w:sz w:val="22"/>
              </w:rPr>
              <w:tab/>
            </w:r>
            <w:r w:rsidR="00697E2A" w:rsidRPr="00D07293">
              <w:rPr>
                <w:rStyle w:val="Hyperlink"/>
                <w:rFonts w:ascii="Times New Roman" w:hAnsi="Times New Roman" w:cs="Times New Roman"/>
                <w:noProof/>
                <w:lang w:val="en-GB" w:eastAsia="ko-KR" w:bidi="si-LK"/>
              </w:rPr>
              <w:t xml:space="preserve">       International Involvement</w:t>
            </w:r>
            <w:r w:rsidR="00697E2A">
              <w:rPr>
                <w:noProof/>
                <w:webHidden/>
              </w:rPr>
              <w:tab/>
            </w:r>
            <w:r w:rsidR="00697E2A">
              <w:rPr>
                <w:noProof/>
                <w:webHidden/>
              </w:rPr>
              <w:fldChar w:fldCharType="begin"/>
            </w:r>
            <w:r w:rsidR="00697E2A">
              <w:rPr>
                <w:noProof/>
                <w:webHidden/>
              </w:rPr>
              <w:instrText xml:space="preserve"> PAGEREF _Toc532128940 \h </w:instrText>
            </w:r>
            <w:r w:rsidR="00697E2A">
              <w:rPr>
                <w:noProof/>
                <w:webHidden/>
              </w:rPr>
            </w:r>
            <w:r w:rsidR="00697E2A">
              <w:rPr>
                <w:noProof/>
                <w:webHidden/>
              </w:rPr>
              <w:fldChar w:fldCharType="separate"/>
            </w:r>
            <w:r w:rsidR="00593AE3">
              <w:rPr>
                <w:noProof/>
                <w:webHidden/>
              </w:rPr>
              <w:t>7</w:t>
            </w:r>
            <w:r w:rsidR="00697E2A">
              <w:rPr>
                <w:noProof/>
                <w:webHidden/>
              </w:rPr>
              <w:fldChar w:fldCharType="end"/>
            </w:r>
          </w:hyperlink>
        </w:p>
        <w:p w14:paraId="27B15677" w14:textId="77777777" w:rsidR="00697E2A" w:rsidRDefault="004D3BB1">
          <w:pPr>
            <w:pStyle w:val="TOC1"/>
            <w:rPr>
              <w:rFonts w:asciiTheme="minorHAnsi" w:eastAsiaTheme="minorEastAsia" w:hAnsiTheme="minorHAnsi"/>
              <w:b w:val="0"/>
            </w:rPr>
          </w:pPr>
          <w:hyperlink w:anchor="_Toc532128941" w:history="1">
            <w:r w:rsidR="00697E2A" w:rsidRPr="00D07293">
              <w:rPr>
                <w:rStyle w:val="Hyperlink"/>
                <w:rFonts w:ascii="Times New Roman" w:hAnsi="Times New Roman" w:cs="Times New Roman"/>
                <w:lang w:val="en-GB" w:eastAsia="ko-KR" w:bidi="si-LK"/>
              </w:rPr>
              <w:t>3. Spectrum Roadmap for Mobile Broadband- Best Practices</w:t>
            </w:r>
            <w:r w:rsidR="00697E2A">
              <w:rPr>
                <w:webHidden/>
              </w:rPr>
              <w:tab/>
            </w:r>
            <w:r w:rsidR="00697E2A">
              <w:rPr>
                <w:webHidden/>
              </w:rPr>
              <w:fldChar w:fldCharType="begin"/>
            </w:r>
            <w:r w:rsidR="00697E2A">
              <w:rPr>
                <w:webHidden/>
              </w:rPr>
              <w:instrText xml:space="preserve"> PAGEREF _Toc532128941 \h </w:instrText>
            </w:r>
            <w:r w:rsidR="00697E2A">
              <w:rPr>
                <w:webHidden/>
              </w:rPr>
            </w:r>
            <w:r w:rsidR="00697E2A">
              <w:rPr>
                <w:webHidden/>
              </w:rPr>
              <w:fldChar w:fldCharType="separate"/>
            </w:r>
            <w:r w:rsidR="00593AE3">
              <w:rPr>
                <w:webHidden/>
              </w:rPr>
              <w:t>8</w:t>
            </w:r>
            <w:r w:rsidR="00697E2A">
              <w:rPr>
                <w:webHidden/>
              </w:rPr>
              <w:fldChar w:fldCharType="end"/>
            </w:r>
          </w:hyperlink>
        </w:p>
        <w:p w14:paraId="594ECBF3" w14:textId="77777777" w:rsidR="00697E2A" w:rsidRDefault="004D3BB1">
          <w:pPr>
            <w:pStyle w:val="TOC2"/>
            <w:rPr>
              <w:rFonts w:asciiTheme="minorHAnsi" w:eastAsiaTheme="minorEastAsia" w:hAnsiTheme="minorHAnsi" w:cstheme="minorBidi"/>
              <w:lang w:eastAsia="en-US"/>
            </w:rPr>
          </w:pPr>
          <w:hyperlink w:anchor="_Toc532128942" w:history="1">
            <w:r w:rsidR="00697E2A" w:rsidRPr="00D07293">
              <w:rPr>
                <w:rStyle w:val="Hyperlink"/>
                <w:rFonts w:ascii="Times New Roman" w:hAnsi="Times New Roman"/>
                <w:lang w:val="en-GB" w:bidi="si-LK"/>
              </w:rPr>
              <w:t>3.1</w:t>
            </w:r>
            <w:r w:rsidR="00697E2A">
              <w:rPr>
                <w:rFonts w:asciiTheme="minorHAnsi" w:eastAsiaTheme="minorEastAsia" w:hAnsiTheme="minorHAnsi" w:cstheme="minorBidi"/>
                <w:lang w:eastAsia="en-US"/>
              </w:rPr>
              <w:tab/>
            </w:r>
            <w:r w:rsidR="00697E2A" w:rsidRPr="00D07293">
              <w:rPr>
                <w:rStyle w:val="Hyperlink"/>
                <w:rFonts w:ascii="Times New Roman" w:hAnsi="Times New Roman"/>
                <w:lang w:val="en-GB" w:bidi="si-LK"/>
              </w:rPr>
              <w:t>Australia</w:t>
            </w:r>
            <w:r w:rsidR="00697E2A">
              <w:rPr>
                <w:webHidden/>
              </w:rPr>
              <w:tab/>
            </w:r>
            <w:r w:rsidR="00697E2A">
              <w:rPr>
                <w:webHidden/>
              </w:rPr>
              <w:fldChar w:fldCharType="begin"/>
            </w:r>
            <w:r w:rsidR="00697E2A">
              <w:rPr>
                <w:webHidden/>
              </w:rPr>
              <w:instrText xml:space="preserve"> PAGEREF _Toc532128942 \h </w:instrText>
            </w:r>
            <w:r w:rsidR="00697E2A">
              <w:rPr>
                <w:webHidden/>
              </w:rPr>
            </w:r>
            <w:r w:rsidR="00697E2A">
              <w:rPr>
                <w:webHidden/>
              </w:rPr>
              <w:fldChar w:fldCharType="separate"/>
            </w:r>
            <w:r w:rsidR="00593AE3">
              <w:rPr>
                <w:webHidden/>
              </w:rPr>
              <w:t>8</w:t>
            </w:r>
            <w:r w:rsidR="00697E2A">
              <w:rPr>
                <w:webHidden/>
              </w:rPr>
              <w:fldChar w:fldCharType="end"/>
            </w:r>
          </w:hyperlink>
        </w:p>
        <w:p w14:paraId="3EF31660" w14:textId="77777777" w:rsidR="00697E2A" w:rsidRDefault="004D3BB1">
          <w:pPr>
            <w:pStyle w:val="TOC2"/>
            <w:rPr>
              <w:rFonts w:asciiTheme="minorHAnsi" w:eastAsiaTheme="minorEastAsia" w:hAnsiTheme="minorHAnsi" w:cstheme="minorBidi"/>
              <w:lang w:eastAsia="en-US"/>
            </w:rPr>
          </w:pPr>
          <w:hyperlink w:anchor="_Toc532128943" w:history="1">
            <w:r w:rsidR="00697E2A" w:rsidRPr="00D07293">
              <w:rPr>
                <w:rStyle w:val="Hyperlink"/>
                <w:rFonts w:ascii="Times New Roman" w:hAnsi="Times New Roman"/>
              </w:rPr>
              <w:t>3.2</w:t>
            </w:r>
            <w:r w:rsidR="00697E2A">
              <w:rPr>
                <w:rFonts w:asciiTheme="minorHAnsi" w:eastAsiaTheme="minorEastAsia" w:hAnsiTheme="minorHAnsi" w:cstheme="minorBidi"/>
                <w:lang w:eastAsia="en-US"/>
              </w:rPr>
              <w:tab/>
            </w:r>
            <w:r w:rsidR="00697E2A" w:rsidRPr="00D07293">
              <w:rPr>
                <w:rStyle w:val="Hyperlink"/>
                <w:rFonts w:ascii="Times New Roman" w:hAnsi="Times New Roman"/>
              </w:rPr>
              <w:t>New Zealand</w:t>
            </w:r>
            <w:r w:rsidR="00697E2A">
              <w:rPr>
                <w:webHidden/>
              </w:rPr>
              <w:tab/>
            </w:r>
            <w:r w:rsidR="00697E2A">
              <w:rPr>
                <w:webHidden/>
              </w:rPr>
              <w:fldChar w:fldCharType="begin"/>
            </w:r>
            <w:r w:rsidR="00697E2A">
              <w:rPr>
                <w:webHidden/>
              </w:rPr>
              <w:instrText xml:space="preserve"> PAGEREF _Toc532128943 \h </w:instrText>
            </w:r>
            <w:r w:rsidR="00697E2A">
              <w:rPr>
                <w:webHidden/>
              </w:rPr>
            </w:r>
            <w:r w:rsidR="00697E2A">
              <w:rPr>
                <w:webHidden/>
              </w:rPr>
              <w:fldChar w:fldCharType="separate"/>
            </w:r>
            <w:r w:rsidR="00593AE3">
              <w:rPr>
                <w:webHidden/>
              </w:rPr>
              <w:t>9</w:t>
            </w:r>
            <w:r w:rsidR="00697E2A">
              <w:rPr>
                <w:webHidden/>
              </w:rPr>
              <w:fldChar w:fldCharType="end"/>
            </w:r>
          </w:hyperlink>
        </w:p>
        <w:p w14:paraId="0EAE2656" w14:textId="77777777" w:rsidR="00697E2A" w:rsidRDefault="004D3BB1">
          <w:pPr>
            <w:pStyle w:val="TOC2"/>
            <w:rPr>
              <w:rFonts w:asciiTheme="minorHAnsi" w:eastAsiaTheme="minorEastAsia" w:hAnsiTheme="minorHAnsi" w:cstheme="minorBidi"/>
              <w:lang w:eastAsia="en-US"/>
            </w:rPr>
          </w:pPr>
          <w:hyperlink w:anchor="_Toc532128944" w:history="1">
            <w:r w:rsidR="00697E2A" w:rsidRPr="00D07293">
              <w:rPr>
                <w:rStyle w:val="Hyperlink"/>
                <w:rFonts w:ascii="Times New Roman" w:hAnsi="Times New Roman"/>
              </w:rPr>
              <w:t>3.3</w:t>
            </w:r>
            <w:r w:rsidR="00697E2A">
              <w:rPr>
                <w:rFonts w:asciiTheme="minorHAnsi" w:eastAsiaTheme="minorEastAsia" w:hAnsiTheme="minorHAnsi" w:cstheme="minorBidi"/>
                <w:lang w:eastAsia="en-US"/>
              </w:rPr>
              <w:tab/>
            </w:r>
            <w:r w:rsidR="00697E2A" w:rsidRPr="00D07293">
              <w:rPr>
                <w:rStyle w:val="Hyperlink"/>
                <w:rFonts w:ascii="Times New Roman" w:hAnsi="Times New Roman"/>
              </w:rPr>
              <w:t>United Kingdom</w:t>
            </w:r>
            <w:r w:rsidR="00697E2A">
              <w:rPr>
                <w:webHidden/>
              </w:rPr>
              <w:tab/>
            </w:r>
            <w:r w:rsidR="00697E2A">
              <w:rPr>
                <w:webHidden/>
              </w:rPr>
              <w:fldChar w:fldCharType="begin"/>
            </w:r>
            <w:r w:rsidR="00697E2A">
              <w:rPr>
                <w:webHidden/>
              </w:rPr>
              <w:instrText xml:space="preserve"> PAGEREF _Toc532128944 \h </w:instrText>
            </w:r>
            <w:r w:rsidR="00697E2A">
              <w:rPr>
                <w:webHidden/>
              </w:rPr>
            </w:r>
            <w:r w:rsidR="00697E2A">
              <w:rPr>
                <w:webHidden/>
              </w:rPr>
              <w:fldChar w:fldCharType="separate"/>
            </w:r>
            <w:r w:rsidR="00593AE3">
              <w:rPr>
                <w:webHidden/>
              </w:rPr>
              <w:t>10</w:t>
            </w:r>
            <w:r w:rsidR="00697E2A">
              <w:rPr>
                <w:webHidden/>
              </w:rPr>
              <w:fldChar w:fldCharType="end"/>
            </w:r>
          </w:hyperlink>
        </w:p>
        <w:p w14:paraId="4A017354" w14:textId="77777777" w:rsidR="00697E2A" w:rsidRDefault="004D3BB1">
          <w:pPr>
            <w:pStyle w:val="TOC1"/>
            <w:rPr>
              <w:rFonts w:asciiTheme="minorHAnsi" w:eastAsiaTheme="minorEastAsia" w:hAnsiTheme="minorHAnsi"/>
              <w:b w:val="0"/>
            </w:rPr>
          </w:pPr>
          <w:hyperlink w:anchor="_Toc532128945" w:history="1">
            <w:r w:rsidR="00697E2A" w:rsidRPr="00D07293">
              <w:rPr>
                <w:rStyle w:val="Hyperlink"/>
                <w:rFonts w:ascii="Times New Roman" w:hAnsi="Times New Roman" w:cs="Times New Roman"/>
                <w:lang w:eastAsia="ko-KR"/>
              </w:rPr>
              <w:t>4. Analysis and Recommendation on Developing Spectrum Roadmap</w:t>
            </w:r>
            <w:r w:rsidR="00697E2A">
              <w:rPr>
                <w:webHidden/>
              </w:rPr>
              <w:tab/>
            </w:r>
            <w:r w:rsidR="00697E2A">
              <w:rPr>
                <w:webHidden/>
              </w:rPr>
              <w:fldChar w:fldCharType="begin"/>
            </w:r>
            <w:r w:rsidR="00697E2A">
              <w:rPr>
                <w:webHidden/>
              </w:rPr>
              <w:instrText xml:space="preserve"> PAGEREF _Toc532128945 \h </w:instrText>
            </w:r>
            <w:r w:rsidR="00697E2A">
              <w:rPr>
                <w:webHidden/>
              </w:rPr>
            </w:r>
            <w:r w:rsidR="00697E2A">
              <w:rPr>
                <w:webHidden/>
              </w:rPr>
              <w:fldChar w:fldCharType="separate"/>
            </w:r>
            <w:r w:rsidR="00593AE3">
              <w:rPr>
                <w:webHidden/>
              </w:rPr>
              <w:t>11</w:t>
            </w:r>
            <w:r w:rsidR="00697E2A">
              <w:rPr>
                <w:webHidden/>
              </w:rPr>
              <w:fldChar w:fldCharType="end"/>
            </w:r>
          </w:hyperlink>
        </w:p>
        <w:p w14:paraId="34B23F4C" w14:textId="77777777" w:rsidR="00697E2A" w:rsidRDefault="004D3BB1">
          <w:pPr>
            <w:pStyle w:val="TOC1"/>
            <w:rPr>
              <w:rFonts w:asciiTheme="minorHAnsi" w:eastAsiaTheme="minorEastAsia" w:hAnsiTheme="minorHAnsi"/>
              <w:b w:val="0"/>
            </w:rPr>
          </w:pPr>
          <w:hyperlink w:anchor="_Toc532128946" w:history="1">
            <w:r w:rsidR="00697E2A" w:rsidRPr="00D07293">
              <w:rPr>
                <w:rStyle w:val="Hyperlink"/>
                <w:rFonts w:ascii="Times New Roman" w:hAnsi="Times New Roman" w:cs="Times New Roman"/>
                <w:lang w:eastAsia="ko-KR"/>
              </w:rPr>
              <w:t>5. Conclusion</w:t>
            </w:r>
            <w:r w:rsidR="00697E2A">
              <w:rPr>
                <w:webHidden/>
              </w:rPr>
              <w:tab/>
            </w:r>
            <w:r w:rsidR="00697E2A">
              <w:rPr>
                <w:webHidden/>
              </w:rPr>
              <w:fldChar w:fldCharType="begin"/>
            </w:r>
            <w:r w:rsidR="00697E2A">
              <w:rPr>
                <w:webHidden/>
              </w:rPr>
              <w:instrText xml:space="preserve"> PAGEREF _Toc532128946 \h </w:instrText>
            </w:r>
            <w:r w:rsidR="00697E2A">
              <w:rPr>
                <w:webHidden/>
              </w:rPr>
            </w:r>
            <w:r w:rsidR="00697E2A">
              <w:rPr>
                <w:webHidden/>
              </w:rPr>
              <w:fldChar w:fldCharType="separate"/>
            </w:r>
            <w:r w:rsidR="00593AE3">
              <w:rPr>
                <w:webHidden/>
              </w:rPr>
              <w:t>12</w:t>
            </w:r>
            <w:r w:rsidR="00697E2A">
              <w:rPr>
                <w:webHidden/>
              </w:rPr>
              <w:fldChar w:fldCharType="end"/>
            </w:r>
          </w:hyperlink>
        </w:p>
        <w:p w14:paraId="35332206" w14:textId="77777777" w:rsidR="00697E2A" w:rsidRDefault="004D3BB1">
          <w:pPr>
            <w:pStyle w:val="TOC1"/>
            <w:rPr>
              <w:rFonts w:asciiTheme="minorHAnsi" w:eastAsiaTheme="minorEastAsia" w:hAnsiTheme="minorHAnsi"/>
              <w:b w:val="0"/>
            </w:rPr>
          </w:pPr>
          <w:hyperlink w:anchor="_Toc532128947" w:history="1">
            <w:r w:rsidR="00697E2A" w:rsidRPr="00D07293">
              <w:rPr>
                <w:rStyle w:val="Hyperlink"/>
                <w:rFonts w:ascii="Times New Roman" w:hAnsi="Times New Roman" w:cs="Times New Roman"/>
              </w:rPr>
              <w:t>Appendix-1: Questionnaires</w:t>
            </w:r>
            <w:r w:rsidR="00697E2A">
              <w:rPr>
                <w:webHidden/>
              </w:rPr>
              <w:tab/>
            </w:r>
            <w:r w:rsidR="00697E2A">
              <w:rPr>
                <w:webHidden/>
              </w:rPr>
              <w:fldChar w:fldCharType="begin"/>
            </w:r>
            <w:r w:rsidR="00697E2A">
              <w:rPr>
                <w:webHidden/>
              </w:rPr>
              <w:instrText xml:space="preserve"> PAGEREF _Toc532128947 \h </w:instrText>
            </w:r>
            <w:r w:rsidR="00697E2A">
              <w:rPr>
                <w:webHidden/>
              </w:rPr>
            </w:r>
            <w:r w:rsidR="00697E2A">
              <w:rPr>
                <w:webHidden/>
              </w:rPr>
              <w:fldChar w:fldCharType="separate"/>
            </w:r>
            <w:r w:rsidR="00593AE3">
              <w:rPr>
                <w:webHidden/>
              </w:rPr>
              <w:t>13</w:t>
            </w:r>
            <w:r w:rsidR="00697E2A">
              <w:rPr>
                <w:webHidden/>
              </w:rPr>
              <w:fldChar w:fldCharType="end"/>
            </w:r>
          </w:hyperlink>
        </w:p>
        <w:p w14:paraId="0246C79E" w14:textId="05AD0ABD" w:rsidR="00697E2A" w:rsidRDefault="00697E2A">
          <w:r>
            <w:rPr>
              <w:b/>
              <w:bCs/>
              <w:noProof/>
            </w:rPr>
            <w:fldChar w:fldCharType="end"/>
          </w:r>
        </w:p>
      </w:sdtContent>
    </w:sdt>
    <w:p w14:paraId="7F24AE09" w14:textId="77777777" w:rsidR="00535559" w:rsidRPr="00115572" w:rsidRDefault="00535559" w:rsidP="00535559">
      <w:pPr>
        <w:jc w:val="both"/>
        <w:rPr>
          <w:rFonts w:eastAsia="Malgun Gothic"/>
          <w:b/>
          <w:bCs/>
          <w:sz w:val="28"/>
          <w:szCs w:val="22"/>
        </w:rPr>
      </w:pPr>
    </w:p>
    <w:p w14:paraId="266A0599" w14:textId="77777777" w:rsidR="00954212" w:rsidRDefault="00954212" w:rsidP="00535559">
      <w:pPr>
        <w:jc w:val="both"/>
        <w:rPr>
          <w:rFonts w:eastAsia="Malgun Gothic"/>
          <w:b/>
          <w:bCs/>
          <w:sz w:val="28"/>
          <w:szCs w:val="22"/>
        </w:rPr>
      </w:pPr>
    </w:p>
    <w:p w14:paraId="00A166B9" w14:textId="77777777" w:rsidR="00697E2A" w:rsidRDefault="00697E2A" w:rsidP="00954212">
      <w:pPr>
        <w:pStyle w:val="Heading1"/>
        <w:rPr>
          <w:rFonts w:ascii="Times New Roman" w:eastAsia="Malgun Gothic" w:hAnsi="Times New Roman" w:cs="Times New Roman"/>
          <w:b/>
          <w:color w:val="auto"/>
          <w:sz w:val="24"/>
          <w:szCs w:val="24"/>
        </w:rPr>
      </w:pPr>
      <w:bookmarkStart w:id="1" w:name="_Toc532128930"/>
    </w:p>
    <w:p w14:paraId="4AEE8339" w14:textId="77777777" w:rsidR="00697E2A" w:rsidRDefault="00697E2A" w:rsidP="00954212">
      <w:pPr>
        <w:pStyle w:val="Heading1"/>
        <w:rPr>
          <w:rFonts w:ascii="Times New Roman" w:eastAsia="Malgun Gothic" w:hAnsi="Times New Roman" w:cs="Times New Roman"/>
          <w:b/>
          <w:color w:val="auto"/>
          <w:sz w:val="24"/>
          <w:szCs w:val="24"/>
        </w:rPr>
      </w:pPr>
    </w:p>
    <w:p w14:paraId="3B2D0E81" w14:textId="77777777" w:rsidR="00697E2A" w:rsidRDefault="00697E2A" w:rsidP="00954212">
      <w:pPr>
        <w:pStyle w:val="Heading1"/>
        <w:rPr>
          <w:rFonts w:ascii="Times New Roman" w:eastAsia="Malgun Gothic" w:hAnsi="Times New Roman" w:cs="Times New Roman"/>
          <w:b/>
          <w:color w:val="auto"/>
          <w:sz w:val="24"/>
          <w:szCs w:val="24"/>
        </w:rPr>
      </w:pPr>
    </w:p>
    <w:p w14:paraId="4A924647" w14:textId="77777777" w:rsidR="00697E2A" w:rsidRDefault="00697E2A" w:rsidP="00954212">
      <w:pPr>
        <w:pStyle w:val="Heading1"/>
        <w:rPr>
          <w:rFonts w:ascii="Times New Roman" w:eastAsia="Malgun Gothic" w:hAnsi="Times New Roman" w:cs="Times New Roman"/>
          <w:b/>
          <w:color w:val="auto"/>
          <w:sz w:val="24"/>
          <w:szCs w:val="24"/>
        </w:rPr>
      </w:pPr>
    </w:p>
    <w:p w14:paraId="689EDC58" w14:textId="77777777" w:rsidR="00697E2A" w:rsidRDefault="00697E2A" w:rsidP="00954212">
      <w:pPr>
        <w:pStyle w:val="Heading1"/>
        <w:rPr>
          <w:rFonts w:ascii="Times New Roman" w:eastAsia="Malgun Gothic" w:hAnsi="Times New Roman" w:cs="Times New Roman"/>
          <w:b/>
          <w:color w:val="auto"/>
          <w:sz w:val="24"/>
          <w:szCs w:val="24"/>
        </w:rPr>
      </w:pPr>
    </w:p>
    <w:p w14:paraId="6653C75F" w14:textId="77777777" w:rsidR="00697E2A" w:rsidRDefault="00697E2A" w:rsidP="00954212">
      <w:pPr>
        <w:pStyle w:val="Heading1"/>
        <w:rPr>
          <w:rFonts w:ascii="Times New Roman" w:eastAsia="Malgun Gothic" w:hAnsi="Times New Roman" w:cs="Times New Roman"/>
          <w:b/>
          <w:color w:val="auto"/>
          <w:sz w:val="24"/>
          <w:szCs w:val="24"/>
        </w:rPr>
      </w:pPr>
    </w:p>
    <w:p w14:paraId="37147C67" w14:textId="77777777" w:rsidR="00697E2A" w:rsidRDefault="00697E2A" w:rsidP="00697E2A"/>
    <w:p w14:paraId="27F53CAF" w14:textId="77777777" w:rsidR="00697E2A" w:rsidRPr="00697E2A" w:rsidRDefault="00697E2A" w:rsidP="00697E2A"/>
    <w:p w14:paraId="3D3585BB" w14:textId="6C8D4755" w:rsidR="00535559" w:rsidRPr="00954212" w:rsidRDefault="00954212" w:rsidP="00954212">
      <w:pPr>
        <w:pStyle w:val="Heading1"/>
        <w:rPr>
          <w:rFonts w:ascii="Times New Roman" w:eastAsia="Malgun Gothic" w:hAnsi="Times New Roman" w:cs="Times New Roman"/>
          <w:b/>
          <w:color w:val="auto"/>
          <w:sz w:val="24"/>
          <w:szCs w:val="24"/>
        </w:rPr>
      </w:pPr>
      <w:r w:rsidRPr="00954212">
        <w:rPr>
          <w:rFonts w:ascii="Times New Roman" w:eastAsia="Malgun Gothic" w:hAnsi="Times New Roman" w:cs="Times New Roman"/>
          <w:b/>
          <w:color w:val="auto"/>
          <w:sz w:val="24"/>
          <w:szCs w:val="24"/>
        </w:rPr>
        <w:t>EXECUTIVE SUMMARY</w:t>
      </w:r>
      <w:bookmarkEnd w:id="1"/>
    </w:p>
    <w:p w14:paraId="49583784" w14:textId="77777777" w:rsidR="00535559" w:rsidRPr="00115572" w:rsidRDefault="00535559" w:rsidP="00535559">
      <w:pPr>
        <w:jc w:val="both"/>
        <w:rPr>
          <w:rFonts w:eastAsia="Malgun Gothic"/>
          <w:b/>
          <w:bCs/>
          <w:sz w:val="28"/>
          <w:szCs w:val="22"/>
        </w:rPr>
      </w:pPr>
    </w:p>
    <w:p w14:paraId="5856A1F6" w14:textId="77777777" w:rsidR="00535559" w:rsidRPr="00115572" w:rsidRDefault="00535559" w:rsidP="00535559">
      <w:pPr>
        <w:spacing w:after="240" w:line="276" w:lineRule="auto"/>
        <w:jc w:val="both"/>
        <w:rPr>
          <w:rFonts w:eastAsia="Times New Roman"/>
          <w:spacing w:val="-3"/>
        </w:rPr>
      </w:pPr>
      <w:r w:rsidRPr="00115572">
        <w:t xml:space="preserve">The development in technologies and the trend of using mobile broadband service in the whole world realize the necessity of developing a national spectrum roadmap. Specially for a clear idea on the investment from operator side and understanding the significance of a particular band from the regulator side, this roadmap is required. It helps to prepare the framework on spectrum re-farming and enhances the international cooperation on spectrum management in </w:t>
      </w:r>
      <w:r w:rsidRPr="00115572">
        <w:rPr>
          <w:rFonts w:eastAsia="Times New Roman"/>
          <w:lang w:eastAsia="ja-JP"/>
        </w:rPr>
        <w:t>harmonized manner in the countries.</w:t>
      </w:r>
    </w:p>
    <w:p w14:paraId="0E90407F" w14:textId="447185AB" w:rsidR="00535559" w:rsidRDefault="00535559" w:rsidP="00535559">
      <w:pPr>
        <w:spacing w:after="240"/>
        <w:jc w:val="both"/>
      </w:pPr>
      <w:r w:rsidRPr="00115572">
        <w:t xml:space="preserve">This report consists </w:t>
      </w:r>
      <w:r>
        <w:t>5</w:t>
      </w:r>
      <w:r w:rsidRPr="00115572">
        <w:t xml:space="preserve"> sections that are comprised of </w:t>
      </w:r>
      <w:r w:rsidR="00EB103A">
        <w:t>10</w:t>
      </w:r>
      <w:r w:rsidRPr="00115572">
        <w:t xml:space="preserve"> sub-sections. In the section-1, the need of the roadmap is described. In section-2 of this report, the process to develop a roadmap has been described. Section-3 contains </w:t>
      </w:r>
      <w:r w:rsidR="00EB103A">
        <w:t>the best practices on</w:t>
      </w:r>
      <w:r w:rsidRPr="00115572">
        <w:t xml:space="preserve"> develop</w:t>
      </w:r>
      <w:r w:rsidR="00EB103A">
        <w:t>ing</w:t>
      </w:r>
      <w:r w:rsidRPr="00115572">
        <w:t xml:space="preserve"> a spectrum roadmap for mobile broadband service in this report</w:t>
      </w:r>
      <w:r w:rsidR="00E07F4D">
        <w:t>,</w:t>
      </w:r>
      <w:r>
        <w:t xml:space="preserve"> Section-4 contains the </w:t>
      </w:r>
      <w:r w:rsidR="00763940">
        <w:t xml:space="preserve">analysis and recommendation on developing such roadmap and finally in Section-5, there is </w:t>
      </w:r>
      <w:r>
        <w:t>conclusion.</w:t>
      </w:r>
    </w:p>
    <w:p w14:paraId="24708C57" w14:textId="57158B92" w:rsidR="00B756E7" w:rsidRPr="00115572" w:rsidRDefault="00763940" w:rsidP="00B756E7">
      <w:pPr>
        <w:autoSpaceDE w:val="0"/>
        <w:autoSpaceDN w:val="0"/>
        <w:adjustRightInd w:val="0"/>
        <w:spacing w:line="276" w:lineRule="auto"/>
        <w:jc w:val="both"/>
        <w:rPr>
          <w:rFonts w:eastAsia="Batang"/>
          <w:lang w:val="en-GB" w:eastAsia="ko-KR"/>
        </w:rPr>
      </w:pPr>
      <w:r>
        <w:rPr>
          <w:rFonts w:eastAsia="Batang"/>
          <w:szCs w:val="20"/>
        </w:rPr>
        <w:t xml:space="preserve">During preparing this report, it is found that in the SATRC countries, </w:t>
      </w:r>
      <w:r w:rsidR="008C24AC">
        <w:rPr>
          <w:rFonts w:eastAsia="Batang"/>
          <w:szCs w:val="20"/>
        </w:rPr>
        <w:t xml:space="preserve">developing a spectrum roadmap is not very common. But the significance of this is for a better regulatory and investment friendly environment. To develop such, the forecast on national need and global trend are the key issue. </w:t>
      </w:r>
      <w:r w:rsidR="00E07F4D">
        <w:rPr>
          <w:rFonts w:eastAsia="Batang"/>
          <w:szCs w:val="20"/>
        </w:rPr>
        <w:t>Based on the replies on questionnaire, the prioritized bands are recommended in this report for future mobile broadband.</w:t>
      </w:r>
      <w:r w:rsidR="00B756E7">
        <w:rPr>
          <w:rFonts w:eastAsia="Batang"/>
          <w:szCs w:val="20"/>
        </w:rPr>
        <w:t xml:space="preserve"> </w:t>
      </w:r>
      <w:r w:rsidR="00B756E7">
        <w:t xml:space="preserve">The parameters to develop a spectrum roadmap for future mobile broadband have been discussed in this report for reference. Hence, </w:t>
      </w:r>
      <w:r w:rsidR="00B756E7">
        <w:rPr>
          <w:rFonts w:eastAsiaTheme="minorHAnsi"/>
        </w:rPr>
        <w:t>the</w:t>
      </w:r>
      <w:r w:rsidR="00B756E7" w:rsidRPr="00115572">
        <w:rPr>
          <w:rFonts w:eastAsia="Batang"/>
          <w:lang w:val="en-GB" w:eastAsia="ko-KR"/>
        </w:rPr>
        <w:t xml:space="preserve"> </w:t>
      </w:r>
      <w:r w:rsidR="00B756E7">
        <w:rPr>
          <w:rFonts w:eastAsia="Batang"/>
          <w:lang w:val="en-GB" w:eastAsia="ko-KR"/>
        </w:rPr>
        <w:t>methodology and analysis</w:t>
      </w:r>
      <w:r w:rsidR="00B756E7" w:rsidRPr="00115572">
        <w:rPr>
          <w:rFonts w:eastAsia="Batang"/>
          <w:lang w:val="en-GB" w:eastAsia="ko-KR"/>
        </w:rPr>
        <w:t xml:space="preserve"> may help the regulators in SATRC countries to develop their national spectrum roadmap for the mobile broadband service-the most discussed service. </w:t>
      </w:r>
    </w:p>
    <w:p w14:paraId="0B387313" w14:textId="4047FAE2" w:rsidR="00535559" w:rsidRPr="00B756E7" w:rsidRDefault="00535559" w:rsidP="00B756E7">
      <w:pPr>
        <w:spacing w:after="240"/>
        <w:jc w:val="both"/>
        <w:rPr>
          <w:rFonts w:eastAsia="Batang"/>
          <w:szCs w:val="20"/>
        </w:rPr>
      </w:pPr>
    </w:p>
    <w:p w14:paraId="08BF7688" w14:textId="3433076A" w:rsidR="00535559" w:rsidRDefault="00535559"/>
    <w:p w14:paraId="24B03657" w14:textId="1721705D" w:rsidR="00535559" w:rsidRDefault="00535559"/>
    <w:p w14:paraId="78E06192" w14:textId="530C0A4F" w:rsidR="00535559" w:rsidRDefault="00535559"/>
    <w:p w14:paraId="0FF464AD" w14:textId="2DC6EA82" w:rsidR="00535559" w:rsidRDefault="00535559"/>
    <w:p w14:paraId="431F56C4" w14:textId="2450795E" w:rsidR="00535559" w:rsidRDefault="00535559"/>
    <w:p w14:paraId="3E4CCEA9" w14:textId="23A0F620" w:rsidR="00535559" w:rsidRDefault="00535559"/>
    <w:p w14:paraId="710EDD19" w14:textId="6245001E" w:rsidR="00535559" w:rsidRDefault="00535559"/>
    <w:p w14:paraId="0C225871" w14:textId="1CA79CDA" w:rsidR="00535559" w:rsidRDefault="00535559"/>
    <w:p w14:paraId="65391AB4" w14:textId="5AC25E7B" w:rsidR="00535559" w:rsidRDefault="00535559"/>
    <w:p w14:paraId="6DAF6E85" w14:textId="7E2FDC59" w:rsidR="00535559" w:rsidRDefault="00535559"/>
    <w:p w14:paraId="202EAF3C" w14:textId="77777777" w:rsidR="00A31936" w:rsidRDefault="00A31936"/>
    <w:p w14:paraId="0D25423D" w14:textId="696AD408" w:rsidR="00535559" w:rsidRDefault="00535559"/>
    <w:p w14:paraId="425527C0" w14:textId="57E2B95B" w:rsidR="00535559" w:rsidRDefault="00535559"/>
    <w:p w14:paraId="7B6543E7" w14:textId="76EAE2E9" w:rsidR="00535559" w:rsidRDefault="00535559"/>
    <w:p w14:paraId="3A1C7BE8" w14:textId="537E1149" w:rsidR="00954212" w:rsidRDefault="00954212"/>
    <w:p w14:paraId="155A1E9B" w14:textId="67CFAD0E" w:rsidR="00535559" w:rsidRPr="001A3EB5" w:rsidRDefault="00535559" w:rsidP="001A3EB5">
      <w:pPr>
        <w:pStyle w:val="Heading1"/>
        <w:rPr>
          <w:rFonts w:ascii="Times New Roman" w:eastAsia="Malgun Gothic" w:hAnsi="Times New Roman" w:cs="Times New Roman"/>
          <w:b/>
          <w:color w:val="auto"/>
          <w:sz w:val="24"/>
          <w:szCs w:val="24"/>
          <w:lang w:eastAsia="ko-KR"/>
        </w:rPr>
      </w:pPr>
      <w:bookmarkStart w:id="2" w:name="_Toc532128805"/>
      <w:bookmarkStart w:id="3" w:name="_Toc532128931"/>
      <w:r w:rsidRPr="001A3EB5">
        <w:rPr>
          <w:rFonts w:ascii="Times New Roman" w:eastAsia="Malgun Gothic" w:hAnsi="Times New Roman" w:cs="Times New Roman"/>
          <w:b/>
          <w:color w:val="auto"/>
          <w:sz w:val="24"/>
          <w:szCs w:val="24"/>
          <w:lang w:eastAsia="ko-KR"/>
        </w:rPr>
        <w:t>1. Introduction</w:t>
      </w:r>
      <w:bookmarkEnd w:id="2"/>
      <w:bookmarkEnd w:id="3"/>
    </w:p>
    <w:p w14:paraId="3D54E000" w14:textId="77777777" w:rsidR="00535559" w:rsidRPr="00115572" w:rsidRDefault="00535559" w:rsidP="00535559">
      <w:pPr>
        <w:spacing w:line="276" w:lineRule="auto"/>
        <w:jc w:val="both"/>
      </w:pPr>
      <w:r w:rsidRPr="00115572">
        <w:t xml:space="preserve">Every regulator needs an accurate understanding of changes in technology and market demand, both for new and existing spectrum uses, to inform the way they plan and make spectrum available. The regulators should consult annually with industry about its spectrum management priorities. It shall cover at least five financial years, be updated and published each financial year after consultation with stakeholders </w:t>
      </w:r>
      <w:r>
        <w:t>before</w:t>
      </w:r>
      <w:r w:rsidRPr="00115572">
        <w:t xml:space="preserve"> finalizing. A roadmap provides an overview of the technology, market, and policy drivers to </w:t>
      </w:r>
      <w:r>
        <w:t>predict</w:t>
      </w:r>
      <w:r w:rsidRPr="00115572">
        <w:t xml:space="preserve"> the demand for, and supply of, spectrum over the next five years. </w:t>
      </w:r>
    </w:p>
    <w:p w14:paraId="7C22229C" w14:textId="77777777" w:rsidR="00535559" w:rsidRPr="00115572" w:rsidRDefault="00535559" w:rsidP="00535559">
      <w:pPr>
        <w:spacing w:line="360" w:lineRule="auto"/>
        <w:jc w:val="both"/>
      </w:pPr>
    </w:p>
    <w:p w14:paraId="4496A6DE" w14:textId="77777777" w:rsidR="00535559" w:rsidRPr="00115572" w:rsidRDefault="00535559" w:rsidP="00535559">
      <w:pPr>
        <w:spacing w:line="276" w:lineRule="auto"/>
        <w:jc w:val="both"/>
      </w:pPr>
      <w:r w:rsidRPr="00115572">
        <w:t>It takes a broad view of trends in technology and spectrum uses that inform the regulators medium-term planning, allocation and reallocation activities.</w:t>
      </w:r>
      <w:r>
        <w:t xml:space="preserve"> </w:t>
      </w:r>
      <w:r w:rsidRPr="00115572">
        <w:t xml:space="preserve">Monitoring of developments in radiocommunications technology, in spectrum use markets </w:t>
      </w:r>
      <w:r>
        <w:t xml:space="preserve">may help to identify the resources allocation and thus the regulatory efficiency. </w:t>
      </w:r>
    </w:p>
    <w:p w14:paraId="628C7793" w14:textId="77777777" w:rsidR="00535559" w:rsidRPr="00115572" w:rsidRDefault="00535559" w:rsidP="00535559">
      <w:pPr>
        <w:spacing w:line="276" w:lineRule="auto"/>
        <w:jc w:val="both"/>
      </w:pPr>
    </w:p>
    <w:p w14:paraId="41D435F1" w14:textId="77777777" w:rsidR="00535559" w:rsidRPr="00115572" w:rsidRDefault="00535559" w:rsidP="00535559">
      <w:pPr>
        <w:spacing w:line="276" w:lineRule="auto"/>
        <w:ind w:right="47"/>
        <w:jc w:val="both"/>
        <w:rPr>
          <w:rFonts w:eastAsia="Times New Roman"/>
          <w:spacing w:val="-3"/>
        </w:rPr>
      </w:pPr>
      <w:r w:rsidRPr="00115572">
        <w:rPr>
          <w:rFonts w:eastAsia="Times New Roman"/>
          <w:spacing w:val="-3"/>
        </w:rPr>
        <w:t>The broad goals and objectives associated with spectrum roadmap are enhancing the capacity of the mobile network, maximizing the economic benefits from use of the spectrum resource, ensuring the users benefit from the use of the spectrum resource and Estimating spectrum demand &amp; supply.</w:t>
      </w:r>
    </w:p>
    <w:p w14:paraId="05263BD7" w14:textId="77777777" w:rsidR="00535559" w:rsidRPr="00115572" w:rsidRDefault="00535559" w:rsidP="00535559">
      <w:pPr>
        <w:spacing w:line="360" w:lineRule="auto"/>
      </w:pPr>
    </w:p>
    <w:p w14:paraId="26D2600E" w14:textId="10F6DF75" w:rsidR="00535559" w:rsidRPr="00F250AF" w:rsidRDefault="00535559" w:rsidP="00F250AF">
      <w:pPr>
        <w:pStyle w:val="Heading2"/>
        <w:rPr>
          <w:rFonts w:ascii="Times New Roman" w:eastAsia="Malgun Gothic" w:hAnsi="Times New Roman" w:cs="Times New Roman"/>
          <w:lang w:eastAsia="ko-KR"/>
        </w:rPr>
      </w:pPr>
      <w:bookmarkStart w:id="4" w:name="_Toc532128806"/>
      <w:bookmarkStart w:id="5" w:name="_Toc532128932"/>
      <w:r w:rsidRPr="00F250AF">
        <w:rPr>
          <w:rFonts w:ascii="Times New Roman" w:eastAsia="Malgun Gothic" w:hAnsi="Times New Roman" w:cs="Times New Roman"/>
          <w:lang w:eastAsia="ko-KR"/>
        </w:rPr>
        <w:t>1.1</w:t>
      </w:r>
      <w:r w:rsidR="00F250AF" w:rsidRPr="00F250AF">
        <w:rPr>
          <w:rFonts w:ascii="Times New Roman" w:eastAsia="Malgun Gothic" w:hAnsi="Times New Roman" w:cs="Times New Roman"/>
          <w:lang w:eastAsia="ko-KR"/>
        </w:rPr>
        <w:t xml:space="preserve"> Rationality</w:t>
      </w:r>
      <w:bookmarkEnd w:id="4"/>
      <w:bookmarkEnd w:id="5"/>
    </w:p>
    <w:p w14:paraId="6FBBAE5B" w14:textId="77777777" w:rsidR="00535559" w:rsidRPr="00115572" w:rsidRDefault="00535559" w:rsidP="00535559">
      <w:pPr>
        <w:spacing w:line="276" w:lineRule="auto"/>
        <w:jc w:val="both"/>
      </w:pPr>
      <w:bookmarkStart w:id="6" w:name="_Toc494115151"/>
      <w:r w:rsidRPr="00115572">
        <w:t>Demand for new spectrum and changes to existing arrangements continue to evolve quickly, requiring the regulators to regularly reassess the priority of its work to reform and update planning arrangements in particular bands, as new opportunities arise to maximize the overall public benefit derived from allocating and using spectrum.</w:t>
      </w:r>
    </w:p>
    <w:p w14:paraId="0E1CDEE2" w14:textId="77777777" w:rsidR="00535559" w:rsidRPr="00115572" w:rsidRDefault="00535559" w:rsidP="00535559">
      <w:pPr>
        <w:spacing w:line="276" w:lineRule="auto"/>
        <w:jc w:val="both"/>
      </w:pPr>
    </w:p>
    <w:p w14:paraId="049F4777" w14:textId="77777777" w:rsidR="00535559" w:rsidRPr="00115572" w:rsidRDefault="00535559" w:rsidP="00535559">
      <w:pPr>
        <w:spacing w:line="276" w:lineRule="auto"/>
        <w:jc w:val="both"/>
      </w:pPr>
      <w:r w:rsidRPr="00115572">
        <w:t>Harmonization of spectrum bands and its usage set the indicators of growth of eco systems. Now the international trends</w:t>
      </w:r>
      <w:r w:rsidRPr="00115572" w:rsidDel="00B269A2">
        <w:t xml:space="preserve"> </w:t>
      </w:r>
      <w:r w:rsidRPr="00115572">
        <w:t xml:space="preserve">are driving demand for spectrum that fade away the distinctions between fixed and mobile broadband. Technology continues to develop to more efficiently exploit available spectrum.  </w:t>
      </w:r>
    </w:p>
    <w:p w14:paraId="6D855F05" w14:textId="77777777" w:rsidR="00535559" w:rsidRPr="00115572" w:rsidRDefault="00535559" w:rsidP="00535559">
      <w:pPr>
        <w:spacing w:line="276" w:lineRule="auto"/>
        <w:jc w:val="both"/>
        <w:rPr>
          <w:rStyle w:val="Heading2Char"/>
          <w:bCs/>
          <w:iCs/>
          <w:sz w:val="20"/>
        </w:rPr>
      </w:pPr>
    </w:p>
    <w:p w14:paraId="309B24E6" w14:textId="77777777" w:rsidR="00535559" w:rsidRPr="00115572" w:rsidRDefault="00535559" w:rsidP="00535559">
      <w:pPr>
        <w:spacing w:line="276" w:lineRule="auto"/>
        <w:jc w:val="both"/>
        <w:rPr>
          <w:rFonts w:cs="Arial"/>
          <w:bCs/>
          <w:szCs w:val="26"/>
        </w:rPr>
      </w:pPr>
      <w:r w:rsidRPr="00115572">
        <w:rPr>
          <w:rFonts w:cs="Arial"/>
          <w:bCs/>
          <w:szCs w:val="26"/>
        </w:rPr>
        <w:lastRenderedPageBreak/>
        <w:t>Every regulator’s response to these demand pressures is outlined in more detail in the planning and allocation roadmap. The preparation of a spectrum roadmap has the intention to alert stakeholders to the pressures likely to shape future rearrangement. A notice needs to be issued to spectrum incumbents about the pressures emerging on planning arrangements in bands they possess.</w:t>
      </w:r>
    </w:p>
    <w:p w14:paraId="4AE35C8D" w14:textId="77777777" w:rsidR="00535559" w:rsidRPr="00115572" w:rsidRDefault="00535559" w:rsidP="00535559">
      <w:pPr>
        <w:spacing w:line="276" w:lineRule="auto"/>
        <w:jc w:val="both"/>
        <w:rPr>
          <w:rFonts w:cs="Arial"/>
          <w:bCs/>
          <w:szCs w:val="26"/>
        </w:rPr>
      </w:pPr>
    </w:p>
    <w:p w14:paraId="0F6274A1" w14:textId="77777777" w:rsidR="00535559" w:rsidRPr="00115572" w:rsidRDefault="00535559" w:rsidP="00535559">
      <w:pPr>
        <w:spacing w:line="276" w:lineRule="auto"/>
      </w:pPr>
      <w:r w:rsidRPr="00115572">
        <w:t xml:space="preserve">Demand for spectrum to support wireless broadband continues to be a major driver for changes in highest-value spectrum use across a number of bands. Mobile broadband continues to be the largest but not the only source of demand. So further spectrum will be needed to support the growth in broadband applications and mobile data in particular. </w:t>
      </w:r>
    </w:p>
    <w:p w14:paraId="4F20EB13" w14:textId="1ADC02C9" w:rsidR="00535559" w:rsidRPr="00F250AF" w:rsidRDefault="00535559" w:rsidP="00F250AF">
      <w:pPr>
        <w:pStyle w:val="Heading1"/>
        <w:rPr>
          <w:rFonts w:ascii="Times New Roman" w:eastAsiaTheme="minorEastAsia" w:hAnsi="Times New Roman" w:cs="Times New Roman"/>
          <w:b/>
          <w:color w:val="auto"/>
          <w:sz w:val="24"/>
          <w:szCs w:val="24"/>
          <w:lang w:val="en-GB" w:eastAsia="ko-KR" w:bidi="si-LK"/>
        </w:rPr>
      </w:pPr>
      <w:bookmarkStart w:id="7" w:name="_Toc532128807"/>
      <w:bookmarkStart w:id="8" w:name="_Toc532128933"/>
      <w:bookmarkEnd w:id="6"/>
      <w:r w:rsidRPr="00F250AF">
        <w:rPr>
          <w:rFonts w:ascii="Times New Roman" w:eastAsiaTheme="minorEastAsia" w:hAnsi="Times New Roman" w:cs="Times New Roman"/>
          <w:b/>
          <w:color w:val="auto"/>
          <w:sz w:val="24"/>
          <w:szCs w:val="24"/>
          <w:lang w:val="en-GB" w:eastAsia="ko-KR" w:bidi="si-LK"/>
        </w:rPr>
        <w:t>2. Developing Spectr</w:t>
      </w:r>
      <w:r w:rsidR="00F250AF" w:rsidRPr="00F250AF">
        <w:rPr>
          <w:rFonts w:ascii="Times New Roman" w:eastAsiaTheme="minorEastAsia" w:hAnsi="Times New Roman" w:cs="Times New Roman"/>
          <w:b/>
          <w:color w:val="auto"/>
          <w:sz w:val="24"/>
          <w:szCs w:val="24"/>
          <w:lang w:val="en-GB" w:eastAsia="ko-KR" w:bidi="si-LK"/>
        </w:rPr>
        <w:t>um Roadmap for Mobile Broadband</w:t>
      </w:r>
      <w:bookmarkEnd w:id="7"/>
      <w:bookmarkEnd w:id="8"/>
    </w:p>
    <w:p w14:paraId="3CE726A6" w14:textId="77777777" w:rsidR="00535559" w:rsidRPr="00115572" w:rsidRDefault="00535559" w:rsidP="00535559">
      <w:pPr>
        <w:spacing w:line="360" w:lineRule="auto"/>
        <w:jc w:val="both"/>
        <w:rPr>
          <w:rFonts w:eastAsiaTheme="minorEastAsia"/>
          <w:b/>
          <w:sz w:val="28"/>
          <w:szCs w:val="28"/>
          <w:lang w:val="en-GB" w:eastAsia="ko-KR" w:bidi="si-LK"/>
        </w:rPr>
      </w:pPr>
    </w:p>
    <w:p w14:paraId="0AC2739E" w14:textId="451FD5CE" w:rsidR="00535559" w:rsidRPr="00F250AF" w:rsidRDefault="00F250AF" w:rsidP="00F250AF">
      <w:pPr>
        <w:pStyle w:val="Heading2"/>
        <w:rPr>
          <w:rFonts w:ascii="Times New Roman" w:eastAsiaTheme="minorEastAsia" w:hAnsi="Times New Roman" w:cs="Times New Roman"/>
          <w:lang w:val="en-GB" w:eastAsia="ko-KR" w:bidi="si-LK"/>
        </w:rPr>
      </w:pPr>
      <w:bookmarkStart w:id="9" w:name="_Toc532128808"/>
      <w:bookmarkStart w:id="10" w:name="_Toc532128934"/>
      <w:r w:rsidRPr="00F250AF">
        <w:rPr>
          <w:rFonts w:ascii="Times New Roman" w:eastAsiaTheme="minorEastAsia" w:hAnsi="Times New Roman" w:cs="Times New Roman"/>
          <w:lang w:val="en-GB" w:eastAsia="ko-KR" w:bidi="si-LK"/>
        </w:rPr>
        <w:t>2.1 Method</w:t>
      </w:r>
      <w:bookmarkEnd w:id="9"/>
      <w:bookmarkEnd w:id="10"/>
    </w:p>
    <w:p w14:paraId="60DA288C" w14:textId="77777777" w:rsidR="00535559" w:rsidRPr="00115572" w:rsidRDefault="00535559" w:rsidP="00535559">
      <w:pPr>
        <w:spacing w:after="80" w:line="276" w:lineRule="auto"/>
        <w:jc w:val="both"/>
        <w:rPr>
          <w:rFonts w:cs="Arial"/>
          <w:szCs w:val="20"/>
        </w:rPr>
      </w:pPr>
      <w:r w:rsidRPr="00115572">
        <w:rPr>
          <w:rFonts w:cs="Arial"/>
          <w:szCs w:val="20"/>
        </w:rPr>
        <w:t xml:space="preserve">To develop a spectrum roadmap, industry must be consulted. Developing a roadmap for mobile broadband, mobile operators along with the equipment providers need to participate in this work initiated by the regulators. </w:t>
      </w:r>
    </w:p>
    <w:p w14:paraId="2C526CE2" w14:textId="77777777" w:rsidR="00535559" w:rsidRPr="00115572" w:rsidRDefault="00535559" w:rsidP="00535559">
      <w:pPr>
        <w:spacing w:after="80" w:line="276" w:lineRule="auto"/>
        <w:jc w:val="both"/>
        <w:rPr>
          <w:rFonts w:cs="Arial"/>
          <w:szCs w:val="20"/>
        </w:rPr>
      </w:pPr>
      <w:r w:rsidRPr="00115572">
        <w:rPr>
          <w:rFonts w:cs="Arial"/>
          <w:szCs w:val="20"/>
        </w:rPr>
        <w:t>To develop a roadmap following things should be considered:</w:t>
      </w:r>
    </w:p>
    <w:p w14:paraId="7127F4C3" w14:textId="77777777" w:rsidR="00535559" w:rsidRPr="00115572" w:rsidRDefault="00535559" w:rsidP="00535559">
      <w:pPr>
        <w:pStyle w:val="ListParagraph"/>
        <w:numPr>
          <w:ilvl w:val="0"/>
          <w:numId w:val="3"/>
        </w:numPr>
        <w:spacing w:after="80" w:line="276" w:lineRule="auto"/>
        <w:jc w:val="both"/>
        <w:rPr>
          <w:rFonts w:cs="Arial"/>
          <w:szCs w:val="20"/>
        </w:rPr>
      </w:pPr>
      <w:r w:rsidRPr="00115572">
        <w:rPr>
          <w:rFonts w:cs="Arial"/>
          <w:szCs w:val="20"/>
        </w:rPr>
        <w:t>What we want to achieve from that particular band</w:t>
      </w:r>
    </w:p>
    <w:p w14:paraId="24E5D4CD" w14:textId="77777777" w:rsidR="00535559" w:rsidRPr="00115572" w:rsidRDefault="00535559" w:rsidP="00535559">
      <w:pPr>
        <w:pStyle w:val="ListParagraph"/>
        <w:numPr>
          <w:ilvl w:val="0"/>
          <w:numId w:val="3"/>
        </w:numPr>
        <w:spacing w:after="80" w:line="276" w:lineRule="auto"/>
        <w:jc w:val="both"/>
        <w:rPr>
          <w:rFonts w:cs="Arial"/>
          <w:szCs w:val="20"/>
        </w:rPr>
      </w:pPr>
      <w:r w:rsidRPr="00115572">
        <w:rPr>
          <w:rFonts w:cs="Arial"/>
          <w:szCs w:val="20"/>
        </w:rPr>
        <w:t>Comparatively is this beneficial than the existing allocation</w:t>
      </w:r>
    </w:p>
    <w:p w14:paraId="20218EF9" w14:textId="77777777" w:rsidR="00535559" w:rsidRPr="00115572" w:rsidRDefault="00535559" w:rsidP="00535559">
      <w:pPr>
        <w:pStyle w:val="ListParagraph"/>
        <w:numPr>
          <w:ilvl w:val="0"/>
          <w:numId w:val="3"/>
        </w:numPr>
        <w:spacing w:after="80" w:line="276" w:lineRule="auto"/>
        <w:jc w:val="both"/>
        <w:rPr>
          <w:rFonts w:cs="Arial"/>
          <w:szCs w:val="20"/>
        </w:rPr>
      </w:pPr>
      <w:r w:rsidRPr="00115572">
        <w:rPr>
          <w:rFonts w:cs="Arial"/>
          <w:szCs w:val="20"/>
        </w:rPr>
        <w:t>What activities need to be performed to achieve the goal</w:t>
      </w:r>
    </w:p>
    <w:p w14:paraId="42769969" w14:textId="77777777" w:rsidR="00535559" w:rsidRPr="00115572" w:rsidRDefault="00535559" w:rsidP="00535559">
      <w:pPr>
        <w:pStyle w:val="ListParagraph"/>
        <w:numPr>
          <w:ilvl w:val="0"/>
          <w:numId w:val="3"/>
        </w:numPr>
        <w:spacing w:after="80" w:line="276" w:lineRule="auto"/>
        <w:jc w:val="both"/>
        <w:rPr>
          <w:rFonts w:cs="Arial"/>
          <w:szCs w:val="20"/>
        </w:rPr>
      </w:pPr>
      <w:r w:rsidRPr="00115572">
        <w:rPr>
          <w:rFonts w:cs="Arial"/>
          <w:szCs w:val="20"/>
        </w:rPr>
        <w:t>A time period must be specified to complete this roadmap</w:t>
      </w:r>
    </w:p>
    <w:p w14:paraId="5AE81866" w14:textId="77777777" w:rsidR="00535559" w:rsidRPr="00115572" w:rsidRDefault="00535559" w:rsidP="00535559">
      <w:pPr>
        <w:pStyle w:val="ListParagraph"/>
        <w:numPr>
          <w:ilvl w:val="0"/>
          <w:numId w:val="3"/>
        </w:numPr>
        <w:spacing w:after="80" w:line="276" w:lineRule="auto"/>
        <w:jc w:val="both"/>
        <w:rPr>
          <w:rFonts w:cs="Arial"/>
          <w:szCs w:val="20"/>
        </w:rPr>
      </w:pPr>
      <w:r w:rsidRPr="00115572">
        <w:rPr>
          <w:rFonts w:cs="Arial"/>
          <w:szCs w:val="20"/>
        </w:rPr>
        <w:t>Periodic review of the roadmap is essential</w:t>
      </w:r>
    </w:p>
    <w:p w14:paraId="14FCF74B" w14:textId="77777777" w:rsidR="00535559" w:rsidRPr="00AC23AA" w:rsidRDefault="00535559" w:rsidP="00535559">
      <w:pPr>
        <w:spacing w:line="360" w:lineRule="auto"/>
        <w:jc w:val="both"/>
        <w:rPr>
          <w:rFonts w:eastAsiaTheme="minorEastAsia"/>
          <w:b/>
          <w:sz w:val="28"/>
          <w:szCs w:val="28"/>
          <w:lang w:val="en-GB" w:eastAsia="ko-KR" w:bidi="si-LK"/>
        </w:rPr>
      </w:pPr>
    </w:p>
    <w:p w14:paraId="47A7C3D9" w14:textId="08698125" w:rsidR="00535559" w:rsidRPr="00AC23AA" w:rsidRDefault="00AC23AA" w:rsidP="00AC23AA">
      <w:pPr>
        <w:pStyle w:val="Heading2"/>
        <w:rPr>
          <w:rFonts w:ascii="Times New Roman" w:eastAsiaTheme="minorEastAsia" w:hAnsi="Times New Roman" w:cs="Times New Roman"/>
          <w:lang w:val="en-GB" w:eastAsia="ko-KR" w:bidi="si-LK"/>
        </w:rPr>
      </w:pPr>
      <w:bookmarkStart w:id="11" w:name="_Toc532128809"/>
      <w:bookmarkStart w:id="12" w:name="_Toc532128935"/>
      <w:r w:rsidRPr="00AC23AA">
        <w:rPr>
          <w:rFonts w:ascii="Times New Roman" w:eastAsiaTheme="minorEastAsia" w:hAnsi="Times New Roman" w:cs="Times New Roman"/>
          <w:lang w:val="en-GB" w:eastAsia="ko-KR" w:bidi="si-LK"/>
        </w:rPr>
        <w:t>2.2 Activities</w:t>
      </w:r>
      <w:bookmarkEnd w:id="11"/>
      <w:bookmarkEnd w:id="12"/>
    </w:p>
    <w:p w14:paraId="0A11403D" w14:textId="77777777" w:rsidR="00535559" w:rsidRPr="00115572" w:rsidRDefault="00535559" w:rsidP="00535559">
      <w:pPr>
        <w:spacing w:after="80" w:line="276" w:lineRule="auto"/>
        <w:jc w:val="both"/>
        <w:rPr>
          <w:rFonts w:cs="Arial"/>
          <w:szCs w:val="20"/>
        </w:rPr>
      </w:pPr>
      <w:r w:rsidRPr="00115572">
        <w:rPr>
          <w:rFonts w:cs="Arial"/>
          <w:szCs w:val="20"/>
        </w:rPr>
        <w:t>After considering the above issues, to develop spectrum roadmap for mobile broadband in particular band, the following activities need to be performed:</w:t>
      </w:r>
    </w:p>
    <w:p w14:paraId="52DA26EC" w14:textId="77777777" w:rsidR="00535559" w:rsidRPr="00115572" w:rsidRDefault="00535559" w:rsidP="00535559">
      <w:pPr>
        <w:pStyle w:val="ListParagraph"/>
        <w:numPr>
          <w:ilvl w:val="0"/>
          <w:numId w:val="4"/>
        </w:numPr>
        <w:spacing w:after="80" w:line="276" w:lineRule="auto"/>
        <w:jc w:val="both"/>
        <w:rPr>
          <w:rFonts w:cs="Arial"/>
          <w:szCs w:val="20"/>
        </w:rPr>
      </w:pPr>
      <w:r w:rsidRPr="00115572">
        <w:rPr>
          <w:rFonts w:cs="Arial"/>
          <w:szCs w:val="20"/>
        </w:rPr>
        <w:t>planning</w:t>
      </w:r>
    </w:p>
    <w:p w14:paraId="1613FF82" w14:textId="77777777" w:rsidR="00535559" w:rsidRPr="00115572" w:rsidRDefault="00535559" w:rsidP="00535559">
      <w:pPr>
        <w:pStyle w:val="ListParagraph"/>
        <w:numPr>
          <w:ilvl w:val="0"/>
          <w:numId w:val="4"/>
        </w:numPr>
        <w:spacing w:after="80" w:line="276" w:lineRule="auto"/>
        <w:jc w:val="both"/>
        <w:rPr>
          <w:rFonts w:cs="Arial"/>
          <w:szCs w:val="20"/>
        </w:rPr>
      </w:pPr>
      <w:r w:rsidRPr="00115572">
        <w:rPr>
          <w:rFonts w:cs="Arial"/>
          <w:szCs w:val="20"/>
        </w:rPr>
        <w:t xml:space="preserve">allocations </w:t>
      </w:r>
    </w:p>
    <w:p w14:paraId="183DD48D" w14:textId="77777777" w:rsidR="00535559" w:rsidRPr="00115572" w:rsidRDefault="00535559" w:rsidP="00535559">
      <w:pPr>
        <w:pStyle w:val="ListParagraph"/>
        <w:numPr>
          <w:ilvl w:val="0"/>
          <w:numId w:val="4"/>
        </w:numPr>
        <w:spacing w:after="80" w:line="276" w:lineRule="auto"/>
        <w:jc w:val="both"/>
        <w:rPr>
          <w:rFonts w:cs="Arial"/>
          <w:szCs w:val="20"/>
        </w:rPr>
      </w:pPr>
      <w:r w:rsidRPr="00115572">
        <w:rPr>
          <w:rFonts w:cs="Arial"/>
          <w:szCs w:val="20"/>
        </w:rPr>
        <w:t xml:space="preserve">regulatory review and reform </w:t>
      </w:r>
    </w:p>
    <w:p w14:paraId="170FF327" w14:textId="77777777" w:rsidR="00535559" w:rsidRPr="00115572" w:rsidRDefault="00535559" w:rsidP="00535559">
      <w:pPr>
        <w:pStyle w:val="ListParagraph"/>
        <w:numPr>
          <w:ilvl w:val="0"/>
          <w:numId w:val="4"/>
        </w:numPr>
        <w:spacing w:after="80" w:line="276" w:lineRule="auto"/>
        <w:jc w:val="both"/>
        <w:rPr>
          <w:rFonts w:cs="Arial"/>
          <w:szCs w:val="20"/>
        </w:rPr>
      </w:pPr>
      <w:r w:rsidRPr="00115572">
        <w:rPr>
          <w:rFonts w:cs="Arial"/>
          <w:szCs w:val="20"/>
        </w:rPr>
        <w:t xml:space="preserve">pricing </w:t>
      </w:r>
    </w:p>
    <w:p w14:paraId="59EFCF0C" w14:textId="77777777" w:rsidR="00535559" w:rsidRPr="00115572" w:rsidRDefault="00535559" w:rsidP="00535559">
      <w:pPr>
        <w:pStyle w:val="ListParagraph"/>
        <w:numPr>
          <w:ilvl w:val="0"/>
          <w:numId w:val="4"/>
        </w:numPr>
        <w:spacing w:after="80" w:line="276" w:lineRule="auto"/>
        <w:jc w:val="both"/>
        <w:rPr>
          <w:rFonts w:cs="Arial"/>
          <w:szCs w:val="20"/>
        </w:rPr>
      </w:pPr>
      <w:r w:rsidRPr="00115572">
        <w:rPr>
          <w:rFonts w:cs="Arial"/>
          <w:szCs w:val="20"/>
        </w:rPr>
        <w:t xml:space="preserve">international involvement </w:t>
      </w:r>
    </w:p>
    <w:p w14:paraId="5FE6DBD2" w14:textId="77777777" w:rsidR="00535559" w:rsidRPr="00115572" w:rsidRDefault="00535559" w:rsidP="00535559">
      <w:pPr>
        <w:spacing w:line="276" w:lineRule="auto"/>
        <w:jc w:val="both"/>
      </w:pPr>
      <w:r w:rsidRPr="00115572">
        <w:t xml:space="preserve">This roadmap remains responsive to short-term changes in spectrum demand, technological developments, government priorities and available resourcing. </w:t>
      </w:r>
    </w:p>
    <w:p w14:paraId="368BE6AC" w14:textId="77777777" w:rsidR="00535559" w:rsidRPr="00115572" w:rsidRDefault="00535559" w:rsidP="00535559">
      <w:pPr>
        <w:spacing w:line="360" w:lineRule="auto"/>
        <w:jc w:val="both"/>
      </w:pPr>
    </w:p>
    <w:p w14:paraId="301D3717" w14:textId="64E536AC" w:rsidR="00535559" w:rsidRPr="00AC23AA" w:rsidRDefault="00535559" w:rsidP="00AC23AA">
      <w:pPr>
        <w:pStyle w:val="Heading3"/>
        <w:rPr>
          <w:rFonts w:ascii="Times New Roman" w:eastAsiaTheme="minorEastAsia" w:hAnsi="Times New Roman" w:cs="Times New Roman"/>
          <w:color w:val="auto"/>
          <w:lang w:val="en-GB" w:eastAsia="ko-KR" w:bidi="si-LK"/>
        </w:rPr>
      </w:pPr>
      <w:bookmarkStart w:id="13" w:name="_Toc510104942"/>
      <w:bookmarkStart w:id="14" w:name="_Toc510105739"/>
      <w:bookmarkStart w:id="15" w:name="_Toc510795076"/>
      <w:bookmarkStart w:id="16" w:name="_Toc511716278"/>
      <w:bookmarkStart w:id="17" w:name="_Toc511719089"/>
      <w:bookmarkStart w:id="18" w:name="_Toc514156694"/>
      <w:bookmarkStart w:id="19" w:name="_Toc532128810"/>
      <w:bookmarkStart w:id="20" w:name="_Toc532128936"/>
      <w:r w:rsidRPr="00AC23AA">
        <w:rPr>
          <w:rFonts w:ascii="Times New Roman" w:eastAsiaTheme="minorEastAsia" w:hAnsi="Times New Roman" w:cs="Times New Roman"/>
          <w:color w:val="auto"/>
          <w:lang w:val="en-GB" w:eastAsia="ko-KR" w:bidi="si-LK"/>
        </w:rPr>
        <w:lastRenderedPageBreak/>
        <w:t>2.2.1       Planning</w:t>
      </w:r>
      <w:bookmarkEnd w:id="13"/>
      <w:bookmarkEnd w:id="14"/>
      <w:bookmarkEnd w:id="15"/>
      <w:bookmarkEnd w:id="16"/>
      <w:bookmarkEnd w:id="17"/>
      <w:bookmarkEnd w:id="18"/>
      <w:bookmarkEnd w:id="19"/>
      <w:bookmarkEnd w:id="20"/>
    </w:p>
    <w:p w14:paraId="6BD748B1" w14:textId="77777777" w:rsidR="00535559" w:rsidRPr="00115572" w:rsidRDefault="00535559" w:rsidP="00535559">
      <w:pPr>
        <w:spacing w:line="276" w:lineRule="auto"/>
        <w:jc w:val="both"/>
      </w:pPr>
      <w:r w:rsidRPr="00115572">
        <w:t xml:space="preserve">The aim of the Regulator is to optimize planning arrangements in each band for the use or uses that maximize the overall public benefit. Planning arrangements in bands should enable the allocation of spectrum to specific users with no, or minimal, further regulatory intervention, and may remain stable over long periods of time. </w:t>
      </w:r>
    </w:p>
    <w:p w14:paraId="3D0C9840" w14:textId="77777777" w:rsidR="00535559" w:rsidRPr="00115572" w:rsidRDefault="00535559" w:rsidP="00535559">
      <w:pPr>
        <w:spacing w:line="276" w:lineRule="auto"/>
        <w:jc w:val="both"/>
      </w:pPr>
    </w:p>
    <w:p w14:paraId="2739A319" w14:textId="77777777" w:rsidR="00535559" w:rsidRPr="00115572" w:rsidRDefault="00535559" w:rsidP="00535559">
      <w:pPr>
        <w:spacing w:line="276" w:lineRule="auto"/>
        <w:jc w:val="both"/>
      </w:pPr>
      <w:r w:rsidRPr="00115572">
        <w:t xml:space="preserve">Where there is evidence of changes in the optimal use or uses of bands, however, the Regulator may identify that there is a net public benefit in the band moving to a new or changed use or being re-configured to better support an existing use. Consulting where appropriate with existing and future users, the Regulator will then consider how best to accommodate additional uses or users within the available spectrum. </w:t>
      </w:r>
    </w:p>
    <w:p w14:paraId="6932B35F" w14:textId="77777777" w:rsidR="00535559" w:rsidRPr="00115572" w:rsidRDefault="00535559" w:rsidP="00535559">
      <w:pPr>
        <w:spacing w:after="80" w:line="276" w:lineRule="auto"/>
        <w:jc w:val="both"/>
      </w:pPr>
    </w:p>
    <w:p w14:paraId="591833AE" w14:textId="77777777" w:rsidR="00535559" w:rsidRPr="00115572" w:rsidRDefault="00535559" w:rsidP="00535559">
      <w:pPr>
        <w:spacing w:after="80" w:line="276" w:lineRule="auto"/>
        <w:jc w:val="both"/>
      </w:pPr>
      <w:r w:rsidRPr="00115572">
        <w:t>Planning activities are divided into two main sections:</w:t>
      </w:r>
    </w:p>
    <w:p w14:paraId="108370D5" w14:textId="77777777" w:rsidR="00535559" w:rsidRPr="00115572" w:rsidRDefault="00535559" w:rsidP="00535559">
      <w:pPr>
        <w:pStyle w:val="ListBullet"/>
        <w:spacing w:line="276" w:lineRule="auto"/>
        <w:jc w:val="both"/>
        <w:rPr>
          <w:rFonts w:ascii="Times New Roman" w:hAnsi="Times New Roman"/>
          <w:sz w:val="24"/>
        </w:rPr>
      </w:pPr>
      <w:r w:rsidRPr="00115572">
        <w:rPr>
          <w:rFonts w:ascii="Times New Roman" w:hAnsi="Times New Roman"/>
          <w:sz w:val="24"/>
        </w:rPr>
        <w:t>major band (re)planning activities to support the establishment of new spectrum uses. This may require the re-farming and reallocation of spectrum from an existing use and users to mobile broadband use and users</w:t>
      </w:r>
    </w:p>
    <w:p w14:paraId="1D8C4DF5" w14:textId="77777777" w:rsidR="00535559" w:rsidRPr="00115572" w:rsidRDefault="00535559" w:rsidP="00535559">
      <w:pPr>
        <w:pStyle w:val="ListBulletLast"/>
        <w:spacing w:line="276" w:lineRule="auto"/>
        <w:jc w:val="both"/>
        <w:rPr>
          <w:rFonts w:ascii="Times New Roman" w:hAnsi="Times New Roman" w:cs="Times New Roman"/>
          <w:sz w:val="24"/>
        </w:rPr>
      </w:pPr>
      <w:r w:rsidRPr="00115572">
        <w:rPr>
          <w:rFonts w:ascii="Times New Roman" w:hAnsi="Times New Roman" w:cs="Times New Roman"/>
          <w:sz w:val="24"/>
        </w:rPr>
        <w:t>optimising</w:t>
      </w:r>
      <w:r w:rsidRPr="00115572" w:rsidDel="008A199D">
        <w:rPr>
          <w:rFonts w:ascii="Times New Roman" w:hAnsi="Times New Roman" w:cs="Times New Roman"/>
          <w:sz w:val="24"/>
        </w:rPr>
        <w:t xml:space="preserve"> </w:t>
      </w:r>
      <w:r w:rsidRPr="00115572">
        <w:rPr>
          <w:rFonts w:ascii="Times New Roman" w:hAnsi="Times New Roman" w:cs="Times New Roman"/>
          <w:sz w:val="24"/>
        </w:rPr>
        <w:t>established planning frameworks for existing spectrum use through updating technical coordination arrangements. This can include addressing sharing demands, defragmentation and optimising planning configurations.</w:t>
      </w:r>
    </w:p>
    <w:p w14:paraId="2A977AC9" w14:textId="77777777" w:rsidR="00535559" w:rsidRPr="00115572" w:rsidRDefault="00535559" w:rsidP="00535559">
      <w:pPr>
        <w:spacing w:line="276" w:lineRule="auto"/>
        <w:jc w:val="both"/>
      </w:pPr>
      <w:r w:rsidRPr="00115572">
        <w:t>Planning is based on</w:t>
      </w:r>
      <w:r w:rsidRPr="00115572" w:rsidDel="00A56174">
        <w:t xml:space="preserve"> </w:t>
      </w:r>
      <w:r w:rsidRPr="00115572">
        <w:t xml:space="preserve">domestic and international demand for spectrum uses, developments in international spectrum harmonization and technology standardization paths, and evolution of communications technology. The planning information must be included in the activities and reflects expected developments over a two to </w:t>
      </w:r>
      <w:r w:rsidRPr="00115572" w:rsidDel="00AA40BB">
        <w:t>five</w:t>
      </w:r>
      <w:r w:rsidRPr="00115572">
        <w:t>-year time frame.</w:t>
      </w:r>
    </w:p>
    <w:p w14:paraId="104E2F23" w14:textId="77777777" w:rsidR="00535559" w:rsidRPr="00115572" w:rsidRDefault="00535559" w:rsidP="00535559">
      <w:pPr>
        <w:spacing w:line="360" w:lineRule="auto"/>
        <w:jc w:val="both"/>
        <w:rPr>
          <w:rFonts w:eastAsia="Batang"/>
          <w:szCs w:val="20"/>
          <w:lang w:eastAsia="ja-JP"/>
        </w:rPr>
      </w:pPr>
    </w:p>
    <w:p w14:paraId="22731B72" w14:textId="23F99DFD" w:rsidR="00535559" w:rsidRPr="00AC23AA" w:rsidRDefault="00535559" w:rsidP="00AC23AA">
      <w:pPr>
        <w:pStyle w:val="Heading3"/>
        <w:rPr>
          <w:rFonts w:ascii="Times New Roman" w:eastAsia="Batang" w:hAnsi="Times New Roman" w:cs="Times New Roman"/>
          <w:color w:val="auto"/>
          <w:szCs w:val="20"/>
          <w:lang w:eastAsia="ja-JP"/>
        </w:rPr>
      </w:pPr>
      <w:bookmarkStart w:id="21" w:name="_Toc532128811"/>
      <w:bookmarkStart w:id="22" w:name="_Toc532128937"/>
      <w:r w:rsidRPr="00AC23AA">
        <w:rPr>
          <w:rFonts w:ascii="Times New Roman" w:eastAsiaTheme="minorEastAsia" w:hAnsi="Times New Roman" w:cs="Times New Roman"/>
          <w:color w:val="auto"/>
          <w:lang w:val="en-GB" w:eastAsia="ko-KR" w:bidi="si-LK"/>
        </w:rPr>
        <w:t xml:space="preserve">2.2.2 </w:t>
      </w:r>
      <w:r w:rsidRPr="00AC23AA">
        <w:rPr>
          <w:rFonts w:ascii="Times New Roman" w:eastAsiaTheme="minorEastAsia" w:hAnsi="Times New Roman" w:cs="Times New Roman"/>
          <w:color w:val="auto"/>
          <w:lang w:val="en-GB" w:eastAsia="ko-KR" w:bidi="si-LK"/>
        </w:rPr>
        <w:tab/>
        <w:t xml:space="preserve">    Allocation</w:t>
      </w:r>
      <w:bookmarkEnd w:id="21"/>
      <w:bookmarkEnd w:id="22"/>
    </w:p>
    <w:p w14:paraId="34F0B410" w14:textId="77777777" w:rsidR="00535559" w:rsidRPr="00115572" w:rsidRDefault="00535559" w:rsidP="00535559">
      <w:pPr>
        <w:spacing w:after="80" w:line="276" w:lineRule="auto"/>
        <w:jc w:val="both"/>
      </w:pPr>
      <w:r w:rsidRPr="00115572">
        <w:t xml:space="preserve">To keep pace with the changing demand, timely access to spectrum is of increasing importance to an innovative and dynamic communications sector. </w:t>
      </w:r>
      <w:r w:rsidRPr="00115572">
        <w:rPr>
          <w:rFonts w:cs="Arial"/>
        </w:rPr>
        <w:t xml:space="preserve">For incumbent and prospective spectrum users, this allocation provides information for stakeholders about the planning status and possible allocation timing and sequencing of particular spectrum bands, to better support the </w:t>
      </w:r>
      <w:r w:rsidRPr="00115572">
        <w:rPr>
          <w:rFonts w:eastAsiaTheme="minorEastAsia"/>
        </w:rPr>
        <w:t>strategic network planning by spectrum users, technology deployment planning and information relevant to capital-raising activities.</w:t>
      </w:r>
    </w:p>
    <w:p w14:paraId="1138A6E0" w14:textId="77777777" w:rsidR="00535559" w:rsidRPr="00115572" w:rsidRDefault="00535559" w:rsidP="00535559">
      <w:pPr>
        <w:spacing w:line="276" w:lineRule="auto"/>
      </w:pPr>
    </w:p>
    <w:p w14:paraId="4566A9C7" w14:textId="77777777" w:rsidR="00535559" w:rsidRPr="00115572" w:rsidRDefault="00535559" w:rsidP="00535559">
      <w:pPr>
        <w:spacing w:line="276" w:lineRule="auto"/>
        <w:jc w:val="both"/>
      </w:pPr>
      <w:r w:rsidRPr="00115572">
        <w:t xml:space="preserve">Any kind of specific allocations may depend on Regulators decisions during the planning stage and should reflect other relevant government policy considerations about planning priorities. Information from incumbent and prospective spectrum users about the demand for access to specific bands and the timing of any possible allocation will also provide important input to </w:t>
      </w:r>
      <w:r w:rsidRPr="00115572">
        <w:lastRenderedPageBreak/>
        <w:t>allocation decisions. The allocation should not be guaranteed before the final arrangement on that particular band.</w:t>
      </w:r>
    </w:p>
    <w:p w14:paraId="0E8C1F4C" w14:textId="77777777" w:rsidR="00535559" w:rsidRPr="00115572" w:rsidRDefault="00535559" w:rsidP="00535559">
      <w:pPr>
        <w:spacing w:line="276" w:lineRule="auto"/>
      </w:pPr>
    </w:p>
    <w:p w14:paraId="30995E95" w14:textId="77777777" w:rsidR="00535559" w:rsidRPr="00115572" w:rsidRDefault="00535559" w:rsidP="00535559">
      <w:pPr>
        <w:spacing w:line="276" w:lineRule="auto"/>
        <w:jc w:val="both"/>
      </w:pPr>
      <w:r w:rsidRPr="00115572">
        <w:t xml:space="preserve">To move towards an allocation, the allocation timing, allocation methodologies, etc. are all dependent on planning decisions to be made. The Regulators shall take account of feedback from industry about likely demand and their priorities for access to particular spectrum bands. </w:t>
      </w:r>
    </w:p>
    <w:p w14:paraId="06CE47E9" w14:textId="77777777" w:rsidR="00535559" w:rsidRPr="00115572" w:rsidRDefault="00535559" w:rsidP="00535559">
      <w:pPr>
        <w:spacing w:line="360" w:lineRule="auto"/>
        <w:jc w:val="both"/>
      </w:pPr>
    </w:p>
    <w:p w14:paraId="32A95797" w14:textId="67BB9D5B" w:rsidR="00535559" w:rsidRPr="00AC23AA" w:rsidRDefault="00535559" w:rsidP="00AC23AA">
      <w:pPr>
        <w:pStyle w:val="Heading3"/>
        <w:rPr>
          <w:rFonts w:ascii="Times New Roman" w:eastAsiaTheme="minorEastAsia" w:hAnsi="Times New Roman" w:cs="Times New Roman"/>
          <w:color w:val="auto"/>
          <w:lang w:val="en-GB" w:eastAsia="ko-KR" w:bidi="si-LK"/>
        </w:rPr>
      </w:pPr>
      <w:bookmarkStart w:id="23" w:name="_Toc532128812"/>
      <w:bookmarkStart w:id="24" w:name="_Toc532128938"/>
      <w:r w:rsidRPr="00AC23AA">
        <w:rPr>
          <w:rFonts w:ascii="Times New Roman" w:eastAsiaTheme="minorEastAsia" w:hAnsi="Times New Roman" w:cs="Times New Roman"/>
          <w:color w:val="auto"/>
          <w:lang w:val="en-GB" w:eastAsia="ko-KR" w:bidi="si-LK"/>
        </w:rPr>
        <w:t xml:space="preserve">2.2.3 </w:t>
      </w:r>
      <w:r w:rsidRPr="00AC23AA">
        <w:rPr>
          <w:rFonts w:ascii="Times New Roman" w:eastAsiaTheme="minorEastAsia" w:hAnsi="Times New Roman" w:cs="Times New Roman"/>
          <w:color w:val="auto"/>
          <w:lang w:val="en-GB" w:eastAsia="ko-KR" w:bidi="si-LK"/>
        </w:rPr>
        <w:tab/>
        <w:t xml:space="preserve">      Regulatory Review</w:t>
      </w:r>
      <w:bookmarkEnd w:id="23"/>
      <w:bookmarkEnd w:id="24"/>
    </w:p>
    <w:p w14:paraId="2591FA33" w14:textId="77777777" w:rsidR="00535559" w:rsidRPr="00115572" w:rsidRDefault="00535559" w:rsidP="00535559">
      <w:pPr>
        <w:spacing w:line="276" w:lineRule="auto"/>
        <w:jc w:val="both"/>
      </w:pPr>
      <w:r w:rsidRPr="00115572">
        <w:rPr>
          <w:rFonts w:eastAsia="Batang"/>
          <w:szCs w:val="20"/>
          <w:lang w:eastAsia="ja-JP"/>
        </w:rPr>
        <w:t>A review based on industry feedback is required once the roadmap is prepared. According to the trend in technology, the spectrum release roadmap should be re arranged.</w:t>
      </w:r>
      <w:r w:rsidRPr="00115572">
        <w:rPr>
          <w:rFonts w:cs="Arial"/>
        </w:rPr>
        <w:t xml:space="preserve"> Stakeholders may express concerns about the regulatory policy, particularly the maintenance of existing rights of licensees and specific issues such as license term and renewal. Sometimes stakeholders may ask for the interim arrangements of licensing. In any case, Regulators should consult with the </w:t>
      </w:r>
      <w:r w:rsidRPr="00115572">
        <w:t xml:space="preserve">stakeholders on the development of the new regulatory arrangements, including instruments. </w:t>
      </w:r>
    </w:p>
    <w:p w14:paraId="6C382ECC" w14:textId="77777777" w:rsidR="00535559" w:rsidRPr="00115572" w:rsidRDefault="00535559" w:rsidP="00535559">
      <w:pPr>
        <w:spacing w:line="360" w:lineRule="auto"/>
        <w:jc w:val="both"/>
        <w:rPr>
          <w:rFonts w:eastAsia="Batang"/>
          <w:szCs w:val="20"/>
          <w:lang w:eastAsia="ja-JP"/>
        </w:rPr>
      </w:pPr>
      <w:r w:rsidRPr="00115572">
        <w:rPr>
          <w:rFonts w:eastAsia="Batang"/>
          <w:szCs w:val="20"/>
          <w:lang w:eastAsia="ja-JP"/>
        </w:rPr>
        <w:t xml:space="preserve">  </w:t>
      </w:r>
    </w:p>
    <w:p w14:paraId="426831C2" w14:textId="75BC9D75" w:rsidR="00535559" w:rsidRPr="00AC23AA" w:rsidRDefault="00535559" w:rsidP="00AC23AA">
      <w:pPr>
        <w:pStyle w:val="Heading3"/>
        <w:rPr>
          <w:rFonts w:ascii="Times New Roman" w:eastAsiaTheme="minorEastAsia" w:hAnsi="Times New Roman" w:cs="Times New Roman"/>
          <w:color w:val="auto"/>
          <w:lang w:val="en-GB" w:eastAsia="ko-KR" w:bidi="si-LK"/>
        </w:rPr>
      </w:pPr>
      <w:bookmarkStart w:id="25" w:name="_Toc532128813"/>
      <w:bookmarkStart w:id="26" w:name="_Toc532128939"/>
      <w:r w:rsidRPr="00AC23AA">
        <w:rPr>
          <w:rFonts w:ascii="Times New Roman" w:eastAsiaTheme="minorEastAsia" w:hAnsi="Times New Roman" w:cs="Times New Roman"/>
          <w:color w:val="auto"/>
          <w:lang w:val="en-GB" w:eastAsia="ko-KR" w:bidi="si-LK"/>
        </w:rPr>
        <w:t xml:space="preserve">2.2.4 </w:t>
      </w:r>
      <w:r w:rsidRPr="00AC23AA">
        <w:rPr>
          <w:rFonts w:ascii="Times New Roman" w:eastAsiaTheme="minorEastAsia" w:hAnsi="Times New Roman" w:cs="Times New Roman"/>
          <w:color w:val="auto"/>
          <w:lang w:val="en-GB" w:eastAsia="ko-KR" w:bidi="si-LK"/>
        </w:rPr>
        <w:tab/>
        <w:t xml:space="preserve">      Pricing</w:t>
      </w:r>
      <w:bookmarkEnd w:id="25"/>
      <w:bookmarkEnd w:id="26"/>
    </w:p>
    <w:p w14:paraId="3249BDD0" w14:textId="77777777" w:rsidR="00535559" w:rsidRPr="00115572" w:rsidRDefault="00535559" w:rsidP="00535559">
      <w:pPr>
        <w:spacing w:after="80" w:line="276" w:lineRule="auto"/>
        <w:jc w:val="both"/>
      </w:pPr>
      <w:r w:rsidRPr="00115572">
        <w:t xml:space="preserve">Spectrum pricing always play a vital role on the spectrum roadmap. Due to the popularity of Mobile Broadband, more spectrum is needed for this. But price of these spectrum bands encourages or discourage the acquisition of the spectrum. Regulators must set and review the price concerning the practical impact of it. To provide good quality of service an operator must </w:t>
      </w:r>
      <w:proofErr w:type="spellStart"/>
      <w:r w:rsidRPr="00115572">
        <w:t>posses</w:t>
      </w:r>
      <w:proofErr w:type="spellEnd"/>
      <w:r w:rsidRPr="00115572">
        <w:t xml:space="preserve"> adequate spectrum or install adequate number of equipment. To discourage the installation of more number of equipment, more spectrum need to be acquired. Only if the price of spectrum is less than the installation cost of equipment, the operators will acquire more spectrum. To implement recommendations of the Spectrum Pricing Review, the Regulators may take following steps:</w:t>
      </w:r>
    </w:p>
    <w:p w14:paraId="5203A256" w14:textId="77777777" w:rsidR="00535559" w:rsidRPr="00115572" w:rsidRDefault="00535559" w:rsidP="00535559">
      <w:pPr>
        <w:pStyle w:val="ListParagraph"/>
        <w:numPr>
          <w:ilvl w:val="0"/>
          <w:numId w:val="5"/>
        </w:numPr>
        <w:spacing w:after="80" w:line="276" w:lineRule="auto"/>
      </w:pPr>
      <w:r w:rsidRPr="00115572">
        <w:t>for transparency and to make the investors understand the pricing procedure a spectrum pricing guideline is to publish</w:t>
      </w:r>
    </w:p>
    <w:p w14:paraId="7077ABE9" w14:textId="77777777" w:rsidR="00535559" w:rsidRPr="00115572" w:rsidRDefault="00535559" w:rsidP="00535559">
      <w:pPr>
        <w:pStyle w:val="ListParagraph"/>
        <w:numPr>
          <w:ilvl w:val="0"/>
          <w:numId w:val="5"/>
        </w:numPr>
        <w:spacing w:after="80" w:line="276" w:lineRule="auto"/>
      </w:pPr>
      <w:r w:rsidRPr="00115572">
        <w:t>a periodic review of the spectrum pricing inclusive of administrative cost to be done</w:t>
      </w:r>
    </w:p>
    <w:p w14:paraId="3A0AEE59" w14:textId="77777777" w:rsidR="00535559" w:rsidRPr="00115572" w:rsidRDefault="00535559" w:rsidP="00535559">
      <w:pPr>
        <w:spacing w:line="360" w:lineRule="auto"/>
        <w:jc w:val="both"/>
        <w:rPr>
          <w:rFonts w:eastAsiaTheme="minorEastAsia"/>
          <w:sz w:val="28"/>
          <w:szCs w:val="28"/>
          <w:lang w:val="en-GB" w:eastAsia="ko-KR" w:bidi="si-LK"/>
        </w:rPr>
      </w:pPr>
    </w:p>
    <w:p w14:paraId="5066AAF7" w14:textId="26F953FE" w:rsidR="00535559" w:rsidRPr="00AC23AA" w:rsidRDefault="00535559" w:rsidP="00AC23AA">
      <w:pPr>
        <w:pStyle w:val="Heading3"/>
        <w:rPr>
          <w:rFonts w:ascii="Times New Roman" w:eastAsiaTheme="minorEastAsia" w:hAnsi="Times New Roman" w:cs="Times New Roman"/>
          <w:color w:val="auto"/>
          <w:lang w:val="en-GB" w:eastAsia="ko-KR" w:bidi="si-LK"/>
        </w:rPr>
      </w:pPr>
      <w:bookmarkStart w:id="27" w:name="_Toc532128814"/>
      <w:bookmarkStart w:id="28" w:name="_Toc532128940"/>
      <w:r w:rsidRPr="00AC23AA">
        <w:rPr>
          <w:rFonts w:ascii="Times New Roman" w:eastAsiaTheme="minorEastAsia" w:hAnsi="Times New Roman" w:cs="Times New Roman"/>
          <w:color w:val="auto"/>
          <w:lang w:val="en-GB" w:eastAsia="ko-KR" w:bidi="si-LK"/>
        </w:rPr>
        <w:t xml:space="preserve">2.2.5 </w:t>
      </w:r>
      <w:r w:rsidRPr="00AC23AA">
        <w:rPr>
          <w:rFonts w:ascii="Times New Roman" w:eastAsiaTheme="minorEastAsia" w:hAnsi="Times New Roman" w:cs="Times New Roman"/>
          <w:color w:val="auto"/>
          <w:lang w:val="en-GB" w:eastAsia="ko-KR" w:bidi="si-LK"/>
        </w:rPr>
        <w:tab/>
        <w:t xml:space="preserve">       International Involvement</w:t>
      </w:r>
      <w:bookmarkEnd w:id="27"/>
      <w:bookmarkEnd w:id="28"/>
    </w:p>
    <w:p w14:paraId="0DB9AF62" w14:textId="77777777" w:rsidR="00535559" w:rsidRPr="00115572" w:rsidRDefault="00535559" w:rsidP="00535559">
      <w:pPr>
        <w:spacing w:line="276" w:lineRule="auto"/>
        <w:jc w:val="both"/>
      </w:pPr>
      <w:bookmarkStart w:id="29" w:name="_Toc510105002"/>
      <w:bookmarkStart w:id="30" w:name="_Toc510105799"/>
      <w:r w:rsidRPr="00115572">
        <w:t xml:space="preserve">By participating in international radiocommunications forums, every Regulators must take care and protect, sometime promote also its national interest in spectrum management, including spectrum harmonization and international frequency coordination. </w:t>
      </w:r>
    </w:p>
    <w:p w14:paraId="2789FA6D" w14:textId="77777777" w:rsidR="00535559" w:rsidRPr="00115572" w:rsidRDefault="00535559" w:rsidP="00535559">
      <w:pPr>
        <w:spacing w:line="276" w:lineRule="auto"/>
        <w:jc w:val="both"/>
      </w:pPr>
    </w:p>
    <w:p w14:paraId="7358E76F" w14:textId="77777777" w:rsidR="00535559" w:rsidRPr="00115572" w:rsidRDefault="00535559" w:rsidP="00535559">
      <w:pPr>
        <w:spacing w:line="276" w:lineRule="auto"/>
        <w:jc w:val="both"/>
      </w:pPr>
      <w:r w:rsidRPr="00115572">
        <w:t xml:space="preserve">In World Radiocommunication Conference (WRC), a forum of International Telecommunication Union’s (ITU), that reviews and revises the Radio Regulations, the international treaty regarding use of the spectrum Regulators must express their concerns to prepare an efficient and sustainable roadmap. In WRC-19 an agenda item is focused on identification of IMT spectrum especially </w:t>
      </w:r>
      <w:r w:rsidRPr="00115572">
        <w:lastRenderedPageBreak/>
        <w:t>suitable for 5G. Regulators must participate WRC-19, as well as other key policy-related WRC-related ITU and Asia-Pacific Telecommunity (APT) meetings including the APT Conference Preparatory Group for WRC-19 (APG-19) for understanding the global trend of technology development. In addition to the policy-related meetings, there are a number of other forums within the ITU and regionally within the APT that consider issues of significance to spectrum management, such as ITU-R Study Groups and Working Parties, and the APT Wireless Group (AWG). The Regulators along with industry, should provide technical expertise for the preparatory groups contributing to these forums.</w:t>
      </w:r>
    </w:p>
    <w:p w14:paraId="34B3843D" w14:textId="77777777" w:rsidR="00535559" w:rsidRPr="00115572" w:rsidRDefault="00535559" w:rsidP="00535559">
      <w:pPr>
        <w:spacing w:line="276" w:lineRule="auto"/>
        <w:jc w:val="both"/>
      </w:pPr>
    </w:p>
    <w:p w14:paraId="65E4D5D3" w14:textId="77777777" w:rsidR="00535559" w:rsidRDefault="00535559" w:rsidP="00535559">
      <w:pPr>
        <w:spacing w:line="276" w:lineRule="auto"/>
        <w:jc w:val="both"/>
      </w:pPr>
      <w:r w:rsidRPr="00115572">
        <w:t xml:space="preserve">This engagement is invaluable in both coordinating international activities and in sharing information and learnings from other spectrum managers on issues of common interest. </w:t>
      </w:r>
    </w:p>
    <w:p w14:paraId="16D06906" w14:textId="77777777" w:rsidR="00AC23AA" w:rsidRPr="00115572" w:rsidRDefault="00AC23AA" w:rsidP="00535559">
      <w:pPr>
        <w:spacing w:line="276" w:lineRule="auto"/>
        <w:jc w:val="both"/>
      </w:pPr>
    </w:p>
    <w:p w14:paraId="16EBEC4D" w14:textId="19715BF4" w:rsidR="00535559" w:rsidRPr="00675E9D" w:rsidRDefault="00535559" w:rsidP="00AC23AA">
      <w:pPr>
        <w:pStyle w:val="Heading1"/>
        <w:rPr>
          <w:rFonts w:ascii="Times New Roman" w:eastAsiaTheme="minorEastAsia" w:hAnsi="Times New Roman" w:cs="Times New Roman"/>
          <w:color w:val="auto"/>
          <w:sz w:val="24"/>
          <w:szCs w:val="24"/>
          <w:lang w:val="en-GB" w:eastAsia="ko-KR" w:bidi="si-LK"/>
        </w:rPr>
      </w:pPr>
      <w:bookmarkStart w:id="31" w:name="_Toc532128815"/>
      <w:bookmarkStart w:id="32" w:name="_Toc532128941"/>
      <w:bookmarkEnd w:id="29"/>
      <w:bookmarkEnd w:id="30"/>
      <w:r w:rsidRPr="00675E9D">
        <w:rPr>
          <w:rFonts w:ascii="Times New Roman" w:eastAsiaTheme="minorEastAsia" w:hAnsi="Times New Roman" w:cs="Times New Roman"/>
          <w:color w:val="auto"/>
          <w:sz w:val="24"/>
          <w:szCs w:val="24"/>
          <w:lang w:val="en-GB" w:eastAsia="ko-KR" w:bidi="si-LK"/>
        </w:rPr>
        <w:t>3. Spectrum Roadmap for Mobile Broadband- Best Practices</w:t>
      </w:r>
      <w:bookmarkEnd w:id="31"/>
      <w:bookmarkEnd w:id="32"/>
      <w:r w:rsidRPr="00675E9D">
        <w:rPr>
          <w:rFonts w:ascii="Times New Roman" w:eastAsiaTheme="minorEastAsia" w:hAnsi="Times New Roman" w:cs="Times New Roman"/>
          <w:color w:val="auto"/>
          <w:sz w:val="24"/>
          <w:szCs w:val="24"/>
          <w:lang w:val="en-GB" w:eastAsia="ko-KR" w:bidi="si-LK"/>
        </w:rPr>
        <w:t xml:space="preserve"> </w:t>
      </w:r>
    </w:p>
    <w:p w14:paraId="73D507FB" w14:textId="77777777" w:rsidR="00535559" w:rsidRPr="00A71B2C" w:rsidRDefault="00535559" w:rsidP="00535559">
      <w:pPr>
        <w:spacing w:line="360" w:lineRule="auto"/>
        <w:jc w:val="both"/>
        <w:rPr>
          <w:rFonts w:eastAsiaTheme="minorEastAsia"/>
          <w:lang w:val="en-GB" w:eastAsia="ko-KR" w:bidi="si-LK"/>
        </w:rPr>
      </w:pPr>
    </w:p>
    <w:p w14:paraId="4EA0295C" w14:textId="5809E5EE" w:rsidR="00535559" w:rsidRPr="00675E9D" w:rsidRDefault="00675E9D" w:rsidP="00675E9D">
      <w:pPr>
        <w:pStyle w:val="Heading2"/>
        <w:rPr>
          <w:rFonts w:ascii="Times New Roman" w:eastAsiaTheme="minorEastAsia" w:hAnsi="Times New Roman" w:cs="Times New Roman"/>
          <w:lang w:val="en-GB" w:eastAsia="ko-KR" w:bidi="si-LK"/>
        </w:rPr>
      </w:pPr>
      <w:bookmarkStart w:id="33" w:name="_Toc532128816"/>
      <w:bookmarkStart w:id="34" w:name="_Toc532128942"/>
      <w:r w:rsidRPr="00675E9D">
        <w:rPr>
          <w:rFonts w:ascii="Times New Roman" w:eastAsiaTheme="minorEastAsia" w:hAnsi="Times New Roman" w:cs="Times New Roman"/>
          <w:lang w:val="en-GB" w:eastAsia="ko-KR" w:bidi="si-LK"/>
        </w:rPr>
        <w:t>3.1</w:t>
      </w:r>
      <w:r w:rsidRPr="00675E9D">
        <w:rPr>
          <w:rFonts w:ascii="Times New Roman" w:eastAsiaTheme="minorEastAsia" w:hAnsi="Times New Roman" w:cs="Times New Roman"/>
          <w:lang w:val="en-GB" w:eastAsia="ko-KR" w:bidi="si-LK"/>
        </w:rPr>
        <w:tab/>
        <w:t>Australia</w:t>
      </w:r>
      <w:bookmarkEnd w:id="33"/>
      <w:bookmarkEnd w:id="34"/>
    </w:p>
    <w:p w14:paraId="715F8DF4" w14:textId="77777777" w:rsidR="00535559" w:rsidRDefault="00535559" w:rsidP="00535559">
      <w:pPr>
        <w:spacing w:line="276" w:lineRule="auto"/>
        <w:jc w:val="both"/>
        <w:rPr>
          <w:rFonts w:eastAsiaTheme="minorEastAsia"/>
          <w:lang w:val="en-GB" w:eastAsia="ko-KR" w:bidi="si-LK"/>
        </w:rPr>
      </w:pPr>
      <w:r w:rsidRPr="00751F9A">
        <w:rPr>
          <w:rFonts w:eastAsiaTheme="minorEastAsia"/>
          <w:lang w:val="en-GB" w:eastAsia="ko-KR" w:bidi="si-LK"/>
        </w:rPr>
        <w:t>Australian Communication and Media Authority (ACMA)</w:t>
      </w:r>
      <w:r>
        <w:rPr>
          <w:rFonts w:eastAsiaTheme="minorEastAsia"/>
          <w:lang w:val="en-GB" w:eastAsia="ko-KR" w:bidi="si-LK"/>
        </w:rPr>
        <w:t xml:space="preserve"> has finalized a five-year spectrum plan named as Five-Year Spectrum Outlook (FYSO) 2018-22. It has been prepared after consultation with the stake holders. This document will be reviewed every year and modified as necessary. It focused on the revising existing spectrum usage and upcoming spectrum requirement to keep pace with the technological evolution. It prioritized the following concerns: </w:t>
      </w:r>
    </w:p>
    <w:p w14:paraId="79D5BA2E" w14:textId="77777777" w:rsidR="00535559" w:rsidRDefault="00535559" w:rsidP="00535559">
      <w:pPr>
        <w:spacing w:line="276" w:lineRule="auto"/>
        <w:jc w:val="both"/>
        <w:rPr>
          <w:rFonts w:eastAsiaTheme="minorEastAsia"/>
          <w:lang w:val="en-GB" w:eastAsia="ko-KR" w:bidi="si-LK"/>
        </w:rPr>
      </w:pPr>
    </w:p>
    <w:p w14:paraId="17547053" w14:textId="77777777" w:rsidR="00535559" w:rsidRPr="00345A0E" w:rsidRDefault="00535559" w:rsidP="00535559">
      <w:pPr>
        <w:pStyle w:val="ListBullet"/>
        <w:numPr>
          <w:ilvl w:val="0"/>
          <w:numId w:val="11"/>
        </w:numPr>
        <w:spacing w:line="276" w:lineRule="auto"/>
        <w:rPr>
          <w:rFonts w:ascii="Times New Roman" w:eastAsiaTheme="minorEastAsia" w:hAnsi="Times New Roman"/>
          <w:sz w:val="24"/>
          <w:lang w:val="en-GB" w:eastAsia="ko-KR" w:bidi="si-LK"/>
        </w:rPr>
      </w:pPr>
      <w:r w:rsidRPr="00345A0E">
        <w:rPr>
          <w:rFonts w:ascii="Times New Roman" w:eastAsiaTheme="minorEastAsia" w:hAnsi="Times New Roman"/>
          <w:sz w:val="24"/>
          <w:lang w:val="en-GB" w:eastAsia="ko-KR" w:bidi="si-LK"/>
        </w:rPr>
        <w:t>Part 1—Environmental outlook</w:t>
      </w:r>
    </w:p>
    <w:p w14:paraId="1D65CC23" w14:textId="77777777" w:rsidR="00535559" w:rsidRPr="00345A0E" w:rsidRDefault="00535559" w:rsidP="00535559">
      <w:pPr>
        <w:pStyle w:val="ListBullet"/>
        <w:numPr>
          <w:ilvl w:val="0"/>
          <w:numId w:val="0"/>
        </w:numPr>
        <w:spacing w:line="276" w:lineRule="auto"/>
        <w:jc w:val="both"/>
        <w:rPr>
          <w:rFonts w:ascii="Times New Roman" w:eastAsiaTheme="minorEastAsia" w:hAnsi="Times New Roman"/>
          <w:sz w:val="24"/>
          <w:lang w:val="en-GB" w:eastAsia="ko-KR" w:bidi="si-LK"/>
        </w:rPr>
      </w:pPr>
      <w:r w:rsidRPr="00345A0E">
        <w:rPr>
          <w:rFonts w:ascii="Times New Roman" w:eastAsiaTheme="minorEastAsia" w:hAnsi="Times New Roman"/>
          <w:sz w:val="24"/>
          <w:lang w:val="en-GB" w:eastAsia="ko-KR" w:bidi="si-LK"/>
        </w:rPr>
        <w:t>Suggestions for a broader focus by the ACMA on the spectrum demand pressures arising from the</w:t>
      </w:r>
      <w:r>
        <w:rPr>
          <w:rFonts w:ascii="Times New Roman" w:eastAsiaTheme="minorEastAsia" w:hAnsi="Times New Roman"/>
          <w:sz w:val="24"/>
          <w:lang w:val="en-GB" w:eastAsia="ko-KR" w:bidi="si-LK"/>
        </w:rPr>
        <w:t xml:space="preserve"> </w:t>
      </w:r>
      <w:r w:rsidRPr="00345A0E">
        <w:rPr>
          <w:rFonts w:ascii="Times New Roman" w:eastAsiaTheme="minorEastAsia" w:hAnsi="Times New Roman"/>
          <w:sz w:val="24"/>
          <w:lang w:val="en-GB" w:eastAsia="ko-KR" w:bidi="si-LK"/>
        </w:rPr>
        <w:t xml:space="preserve">Internet of Things, space and satellite industry, 5G and mobile broadband developments </w:t>
      </w:r>
      <w:r>
        <w:rPr>
          <w:rFonts w:ascii="Times New Roman" w:eastAsiaTheme="minorEastAsia" w:hAnsi="Times New Roman"/>
          <w:sz w:val="24"/>
          <w:lang w:val="en-GB" w:eastAsia="ko-KR" w:bidi="si-LK"/>
        </w:rPr>
        <w:t>to</w:t>
      </w:r>
      <w:r w:rsidRPr="00345A0E">
        <w:rPr>
          <w:rFonts w:ascii="Times New Roman" w:eastAsiaTheme="minorEastAsia" w:hAnsi="Times New Roman"/>
          <w:sz w:val="24"/>
          <w:lang w:val="en-GB" w:eastAsia="ko-KR" w:bidi="si-LK"/>
        </w:rPr>
        <w:t xml:space="preserve"> be taken up over the course of the year and reflected in future updates.</w:t>
      </w:r>
    </w:p>
    <w:p w14:paraId="65552617" w14:textId="77777777" w:rsidR="00535559" w:rsidRPr="00345A0E" w:rsidRDefault="00535559" w:rsidP="00535559">
      <w:pPr>
        <w:pStyle w:val="ListBullet"/>
        <w:keepNext/>
        <w:keepLines/>
        <w:numPr>
          <w:ilvl w:val="0"/>
          <w:numId w:val="11"/>
        </w:numPr>
        <w:spacing w:line="276" w:lineRule="auto"/>
        <w:rPr>
          <w:rFonts w:ascii="Times New Roman" w:eastAsiaTheme="minorEastAsia" w:hAnsi="Times New Roman"/>
          <w:sz w:val="24"/>
          <w:lang w:val="en-GB" w:eastAsia="ko-KR" w:bidi="si-LK"/>
        </w:rPr>
      </w:pPr>
      <w:r w:rsidRPr="00345A0E">
        <w:rPr>
          <w:rFonts w:ascii="Times New Roman" w:eastAsiaTheme="minorEastAsia" w:hAnsi="Times New Roman"/>
          <w:sz w:val="24"/>
          <w:lang w:val="en-GB" w:eastAsia="ko-KR" w:bidi="si-LK"/>
        </w:rPr>
        <w:t>Part 2—2018–19 Spectrum work program</w:t>
      </w:r>
    </w:p>
    <w:p w14:paraId="0EA33639" w14:textId="77777777" w:rsidR="00535559" w:rsidRPr="00345A0E" w:rsidRDefault="00535559" w:rsidP="00535559">
      <w:pPr>
        <w:pStyle w:val="ListBullet"/>
        <w:keepNext/>
        <w:keepLines/>
        <w:numPr>
          <w:ilvl w:val="0"/>
          <w:numId w:val="0"/>
        </w:numPr>
        <w:spacing w:line="276" w:lineRule="auto"/>
        <w:jc w:val="both"/>
        <w:rPr>
          <w:rFonts w:ascii="Times New Roman" w:eastAsiaTheme="minorEastAsia" w:hAnsi="Times New Roman"/>
          <w:sz w:val="24"/>
          <w:lang w:val="en-GB" w:eastAsia="ko-KR" w:bidi="si-LK"/>
        </w:rPr>
      </w:pPr>
      <w:r w:rsidRPr="00345A0E">
        <w:rPr>
          <w:rFonts w:ascii="Times New Roman" w:eastAsiaTheme="minorEastAsia" w:hAnsi="Times New Roman"/>
          <w:sz w:val="24"/>
          <w:lang w:val="en-GB" w:eastAsia="ko-KR" w:bidi="si-LK"/>
        </w:rPr>
        <w:t>Suggestions for better explaining the basis for changes to our spectrum management priorities.</w:t>
      </w:r>
    </w:p>
    <w:p w14:paraId="2663D178" w14:textId="77777777" w:rsidR="00535559" w:rsidRDefault="00535559" w:rsidP="00535559">
      <w:pPr>
        <w:pStyle w:val="ListBullet"/>
        <w:keepNext/>
        <w:keepLines/>
        <w:numPr>
          <w:ilvl w:val="0"/>
          <w:numId w:val="0"/>
        </w:numPr>
        <w:spacing w:line="276" w:lineRule="auto"/>
        <w:ind w:left="1015" w:firstLine="425"/>
        <w:rPr>
          <w:rFonts w:ascii="Times New Roman" w:eastAsiaTheme="minorEastAsia" w:hAnsi="Times New Roman"/>
          <w:sz w:val="24"/>
          <w:lang w:val="en-GB" w:eastAsia="ko-KR" w:bidi="si-LK"/>
        </w:rPr>
      </w:pPr>
    </w:p>
    <w:p w14:paraId="5E67BB3D" w14:textId="77777777" w:rsidR="00535559" w:rsidRPr="00345A0E" w:rsidRDefault="00535559" w:rsidP="00535559">
      <w:pPr>
        <w:pStyle w:val="ListBullet"/>
        <w:keepNext/>
        <w:keepLines/>
        <w:numPr>
          <w:ilvl w:val="0"/>
          <w:numId w:val="0"/>
        </w:numPr>
        <w:spacing w:line="276" w:lineRule="auto"/>
        <w:ind w:left="1015" w:firstLine="425"/>
        <w:jc w:val="both"/>
        <w:rPr>
          <w:rFonts w:ascii="Times New Roman" w:eastAsiaTheme="minorEastAsia" w:hAnsi="Times New Roman"/>
          <w:sz w:val="24"/>
          <w:lang w:val="en-GB" w:eastAsia="ko-KR" w:bidi="si-LK"/>
        </w:rPr>
      </w:pPr>
      <w:r w:rsidRPr="00345A0E">
        <w:rPr>
          <w:rFonts w:ascii="Times New Roman" w:eastAsiaTheme="minorEastAsia" w:hAnsi="Times New Roman"/>
          <w:sz w:val="24"/>
          <w:lang w:val="en-GB" w:eastAsia="ko-KR" w:bidi="si-LK"/>
        </w:rPr>
        <w:t>Planning priority changes</w:t>
      </w:r>
    </w:p>
    <w:p w14:paraId="4C86FA69" w14:textId="77777777" w:rsidR="00535559" w:rsidRDefault="00535559" w:rsidP="00535559">
      <w:pPr>
        <w:pStyle w:val="ListBullet"/>
        <w:keepNext/>
        <w:keepLines/>
        <w:numPr>
          <w:ilvl w:val="0"/>
          <w:numId w:val="0"/>
        </w:numPr>
        <w:spacing w:line="276" w:lineRule="auto"/>
        <w:jc w:val="both"/>
        <w:rPr>
          <w:rFonts w:ascii="Times New Roman" w:eastAsiaTheme="minorEastAsia" w:hAnsi="Times New Roman"/>
          <w:sz w:val="24"/>
          <w:lang w:val="en-GB" w:eastAsia="ko-KR" w:bidi="si-LK"/>
        </w:rPr>
      </w:pPr>
      <w:r w:rsidRPr="00345A0E">
        <w:rPr>
          <w:rFonts w:ascii="Times New Roman" w:eastAsiaTheme="minorEastAsia" w:hAnsi="Times New Roman"/>
          <w:sz w:val="24"/>
          <w:lang w:val="en-GB" w:eastAsia="ko-KR" w:bidi="si-LK"/>
        </w:rPr>
        <w:t>Fast-moving developments in the international environment and changing demand from industry, as expressed in submissions to the FYSO, has led the ACMA to reprioritise and bring forward planning work in a number of key bands:</w:t>
      </w:r>
      <w:r>
        <w:rPr>
          <w:rFonts w:ascii="Times New Roman" w:eastAsiaTheme="minorEastAsia" w:hAnsi="Times New Roman"/>
          <w:sz w:val="24"/>
          <w:lang w:val="en-GB" w:eastAsia="ko-KR" w:bidi="si-LK"/>
        </w:rPr>
        <w:t xml:space="preserve"> 2GHz, 3.3-3.4 GHz, 3.4-3.575 GHz, 3.7-4.2 GHz, 26 GHz, 28 GHz.</w:t>
      </w:r>
    </w:p>
    <w:p w14:paraId="71417385" w14:textId="77777777" w:rsidR="00535559" w:rsidRPr="00345A0E" w:rsidRDefault="00535559" w:rsidP="00535559">
      <w:pPr>
        <w:pStyle w:val="ListBullet"/>
        <w:keepNext/>
        <w:keepLines/>
        <w:numPr>
          <w:ilvl w:val="0"/>
          <w:numId w:val="0"/>
        </w:numPr>
        <w:spacing w:line="276" w:lineRule="auto"/>
        <w:jc w:val="both"/>
        <w:rPr>
          <w:rFonts w:ascii="Times New Roman" w:eastAsiaTheme="minorEastAsia" w:hAnsi="Times New Roman"/>
          <w:sz w:val="24"/>
          <w:lang w:val="en-GB" w:eastAsia="ko-KR" w:bidi="si-LK"/>
        </w:rPr>
      </w:pPr>
    </w:p>
    <w:p w14:paraId="76F9AC4D" w14:textId="77777777" w:rsidR="00535559" w:rsidRPr="00345A0E" w:rsidRDefault="00535559" w:rsidP="00535559">
      <w:pPr>
        <w:pStyle w:val="ListBullet"/>
        <w:numPr>
          <w:ilvl w:val="0"/>
          <w:numId w:val="0"/>
        </w:numPr>
        <w:spacing w:line="276" w:lineRule="auto"/>
        <w:ind w:left="1015" w:firstLine="425"/>
        <w:jc w:val="both"/>
        <w:rPr>
          <w:rFonts w:ascii="Times New Roman" w:eastAsiaTheme="minorEastAsia" w:hAnsi="Times New Roman"/>
          <w:sz w:val="24"/>
          <w:lang w:val="en-GB" w:eastAsia="ko-KR" w:bidi="si-LK"/>
        </w:rPr>
      </w:pPr>
      <w:r w:rsidRPr="00345A0E">
        <w:rPr>
          <w:rFonts w:ascii="Times New Roman" w:eastAsiaTheme="minorEastAsia" w:hAnsi="Times New Roman"/>
          <w:sz w:val="24"/>
          <w:lang w:val="en-GB" w:eastAsia="ko-KR" w:bidi="si-LK"/>
        </w:rPr>
        <w:t>Forward allocation work program</w:t>
      </w:r>
    </w:p>
    <w:p w14:paraId="6353F0E5" w14:textId="77777777" w:rsidR="00535559" w:rsidRPr="00345A0E" w:rsidRDefault="00535559" w:rsidP="00535559">
      <w:pPr>
        <w:spacing w:line="276" w:lineRule="auto"/>
        <w:jc w:val="both"/>
        <w:rPr>
          <w:rFonts w:eastAsiaTheme="minorEastAsia"/>
          <w:lang w:val="en-GB" w:eastAsia="ko-KR" w:bidi="si-LK"/>
        </w:rPr>
      </w:pPr>
      <w:r w:rsidRPr="00345A0E">
        <w:rPr>
          <w:rFonts w:eastAsiaTheme="minorEastAsia"/>
          <w:lang w:val="en-GB" w:eastAsia="ko-KR" w:bidi="si-LK"/>
        </w:rPr>
        <w:lastRenderedPageBreak/>
        <w:t>The updated planning priorities have consequences for the timing and sequencing of spectrum that may become available for allocation by auction. In response to feedback, the ACMA has prioritised action on the 26 GHz band. The potential timing of allocations has been amended to reflect these changes.</w:t>
      </w:r>
    </w:p>
    <w:p w14:paraId="264D62D3" w14:textId="77777777" w:rsidR="00535559" w:rsidRPr="00345A0E" w:rsidRDefault="00535559" w:rsidP="00535559">
      <w:pPr>
        <w:pStyle w:val="ACMATableHeader"/>
        <w:keepNext/>
        <w:keepLines/>
        <w:numPr>
          <w:ilvl w:val="0"/>
          <w:numId w:val="0"/>
        </w:numPr>
        <w:tabs>
          <w:tab w:val="left" w:pos="720"/>
        </w:tabs>
        <w:spacing w:line="276" w:lineRule="auto"/>
        <w:jc w:val="both"/>
        <w:rPr>
          <w:rFonts w:ascii="Times New Roman" w:eastAsiaTheme="minorEastAsia" w:hAnsi="Times New Roman"/>
          <w:b w:val="0"/>
          <w:bCs w:val="0"/>
          <w:color w:val="auto"/>
          <w:sz w:val="24"/>
          <w:szCs w:val="24"/>
          <w:lang w:val="en-GB" w:eastAsia="ko-KR" w:bidi="si-LK"/>
        </w:rPr>
      </w:pPr>
      <w:r>
        <w:rPr>
          <w:rFonts w:ascii="Times New Roman" w:eastAsiaTheme="minorEastAsia" w:hAnsi="Times New Roman"/>
          <w:b w:val="0"/>
          <w:bCs w:val="0"/>
          <w:color w:val="auto"/>
          <w:sz w:val="24"/>
          <w:szCs w:val="24"/>
          <w:lang w:val="en-GB" w:eastAsia="ko-KR" w:bidi="si-LK"/>
        </w:rPr>
        <w:tab/>
      </w:r>
      <w:r>
        <w:rPr>
          <w:rFonts w:ascii="Times New Roman" w:eastAsiaTheme="minorEastAsia" w:hAnsi="Times New Roman"/>
          <w:b w:val="0"/>
          <w:bCs w:val="0"/>
          <w:color w:val="auto"/>
          <w:sz w:val="24"/>
          <w:szCs w:val="24"/>
          <w:lang w:val="en-GB" w:eastAsia="ko-KR" w:bidi="si-LK"/>
        </w:rPr>
        <w:tab/>
      </w:r>
      <w:r w:rsidRPr="00345A0E">
        <w:rPr>
          <w:rFonts w:ascii="Times New Roman" w:eastAsiaTheme="minorEastAsia" w:hAnsi="Times New Roman"/>
          <w:b w:val="0"/>
          <w:bCs w:val="0"/>
          <w:color w:val="auto"/>
          <w:sz w:val="24"/>
          <w:szCs w:val="24"/>
          <w:lang w:val="en-GB" w:eastAsia="ko-KR" w:bidi="si-LK"/>
        </w:rPr>
        <w:t>Potential timing of allocations</w:t>
      </w:r>
    </w:p>
    <w:tbl>
      <w:tblPr>
        <w:tblStyle w:val="TableGrid"/>
        <w:tblW w:w="7661" w:type="dxa"/>
        <w:tblInd w:w="-5" w:type="dxa"/>
        <w:tblCellMar>
          <w:top w:w="57" w:type="dxa"/>
          <w:left w:w="57" w:type="dxa"/>
          <w:bottom w:w="57" w:type="dxa"/>
          <w:right w:w="57" w:type="dxa"/>
        </w:tblCellMar>
        <w:tblLook w:val="04A0" w:firstRow="1" w:lastRow="0" w:firstColumn="1" w:lastColumn="0" w:noHBand="0" w:noVBand="1"/>
      </w:tblPr>
      <w:tblGrid>
        <w:gridCol w:w="1095"/>
        <w:gridCol w:w="1310"/>
        <w:gridCol w:w="1302"/>
        <w:gridCol w:w="1538"/>
        <w:gridCol w:w="2416"/>
      </w:tblGrid>
      <w:tr w:rsidR="00535559" w:rsidRPr="00612BF4" w14:paraId="2D5E7887" w14:textId="77777777" w:rsidTr="00AE0C92">
        <w:trPr>
          <w:tblHeader/>
        </w:trPr>
        <w:tc>
          <w:tcPr>
            <w:tcW w:w="0" w:type="auto"/>
            <w:shd w:val="clear" w:color="auto" w:fill="404040" w:themeFill="text1" w:themeFillTint="BF"/>
          </w:tcPr>
          <w:p w14:paraId="01D50622" w14:textId="77777777" w:rsidR="00535559" w:rsidRPr="00612BF4" w:rsidRDefault="00535559" w:rsidP="00AE0C92">
            <w:pPr>
              <w:pStyle w:val="TableHeading"/>
              <w:spacing w:line="276" w:lineRule="auto"/>
              <w:rPr>
                <w:rFonts w:ascii="Times New Roman" w:eastAsiaTheme="minorEastAsia" w:hAnsi="Times New Roman"/>
                <w:b w:val="0"/>
                <w:sz w:val="22"/>
                <w:szCs w:val="22"/>
                <w:lang w:val="en-GB" w:eastAsia="ko-KR" w:bidi="si-LK"/>
              </w:rPr>
            </w:pPr>
            <w:bookmarkStart w:id="35" w:name="_Hlk522786848"/>
          </w:p>
        </w:tc>
        <w:tc>
          <w:tcPr>
            <w:tcW w:w="1310" w:type="dxa"/>
            <w:shd w:val="clear" w:color="auto" w:fill="404040" w:themeFill="text1" w:themeFillTint="BF"/>
          </w:tcPr>
          <w:p w14:paraId="6458F2C8" w14:textId="77777777" w:rsidR="00535559" w:rsidRPr="00612BF4" w:rsidRDefault="00535559" w:rsidP="00AE0C92">
            <w:pPr>
              <w:pStyle w:val="TableHeading"/>
              <w:spacing w:line="276" w:lineRule="auto"/>
              <w:rPr>
                <w:rFonts w:ascii="Times New Roman" w:eastAsiaTheme="minorEastAsia" w:hAnsi="Times New Roman"/>
                <w:b w:val="0"/>
                <w:sz w:val="22"/>
                <w:szCs w:val="22"/>
                <w:lang w:val="en-GB" w:eastAsia="ko-KR" w:bidi="si-LK"/>
              </w:rPr>
            </w:pPr>
            <w:r w:rsidRPr="00612BF4">
              <w:rPr>
                <w:rFonts w:ascii="Times New Roman" w:eastAsiaTheme="minorEastAsia" w:hAnsi="Times New Roman"/>
                <w:b w:val="0"/>
                <w:sz w:val="22"/>
                <w:szCs w:val="22"/>
                <w:lang w:val="en-GB" w:eastAsia="ko-KR" w:bidi="si-LK"/>
              </w:rPr>
              <w:t>ACMA planning decision</w:t>
            </w:r>
          </w:p>
        </w:tc>
        <w:tc>
          <w:tcPr>
            <w:tcW w:w="1302" w:type="dxa"/>
            <w:shd w:val="clear" w:color="auto" w:fill="404040" w:themeFill="text1" w:themeFillTint="BF"/>
          </w:tcPr>
          <w:p w14:paraId="4366D7D9" w14:textId="77777777" w:rsidR="00535559" w:rsidRPr="00612BF4" w:rsidRDefault="00535559" w:rsidP="00AE0C92">
            <w:pPr>
              <w:pStyle w:val="TableHeading"/>
              <w:spacing w:line="276" w:lineRule="auto"/>
              <w:rPr>
                <w:rFonts w:ascii="Times New Roman" w:eastAsiaTheme="minorEastAsia" w:hAnsi="Times New Roman"/>
                <w:b w:val="0"/>
                <w:sz w:val="22"/>
                <w:szCs w:val="22"/>
                <w:lang w:val="en-GB" w:eastAsia="ko-KR" w:bidi="si-LK"/>
              </w:rPr>
            </w:pPr>
            <w:r w:rsidRPr="00612BF4">
              <w:rPr>
                <w:rFonts w:ascii="Times New Roman" w:eastAsiaTheme="minorEastAsia" w:hAnsi="Times New Roman"/>
                <w:b w:val="0"/>
                <w:sz w:val="22"/>
                <w:szCs w:val="22"/>
                <w:lang w:val="en-GB" w:eastAsia="ko-KR" w:bidi="si-LK"/>
              </w:rPr>
              <w:t>Minister decision where applicable</w:t>
            </w:r>
          </w:p>
        </w:tc>
        <w:tc>
          <w:tcPr>
            <w:tcW w:w="1538" w:type="dxa"/>
            <w:shd w:val="clear" w:color="auto" w:fill="404040" w:themeFill="text1" w:themeFillTint="BF"/>
          </w:tcPr>
          <w:p w14:paraId="5B736D9B" w14:textId="77777777" w:rsidR="00535559" w:rsidRPr="00612BF4" w:rsidRDefault="00535559" w:rsidP="00AE0C92">
            <w:pPr>
              <w:pStyle w:val="TableHeading"/>
              <w:spacing w:line="276" w:lineRule="auto"/>
              <w:rPr>
                <w:rFonts w:ascii="Times New Roman" w:eastAsiaTheme="minorEastAsia" w:hAnsi="Times New Roman"/>
                <w:b w:val="0"/>
                <w:sz w:val="22"/>
                <w:szCs w:val="22"/>
                <w:lang w:val="en-GB" w:eastAsia="ko-KR" w:bidi="si-LK"/>
              </w:rPr>
            </w:pPr>
            <w:r w:rsidRPr="00612BF4">
              <w:rPr>
                <w:rFonts w:ascii="Times New Roman" w:eastAsiaTheme="minorEastAsia" w:hAnsi="Times New Roman"/>
                <w:b w:val="0"/>
                <w:sz w:val="22"/>
                <w:szCs w:val="22"/>
                <w:lang w:val="en-GB" w:eastAsia="ko-KR" w:bidi="si-LK"/>
              </w:rPr>
              <w:t>Auction</w:t>
            </w:r>
          </w:p>
        </w:tc>
        <w:tc>
          <w:tcPr>
            <w:tcW w:w="2416" w:type="dxa"/>
            <w:shd w:val="clear" w:color="auto" w:fill="404040" w:themeFill="text1" w:themeFillTint="BF"/>
          </w:tcPr>
          <w:p w14:paraId="7640C1FA" w14:textId="77777777" w:rsidR="00535559" w:rsidRPr="00612BF4" w:rsidRDefault="00535559" w:rsidP="00AE0C92">
            <w:pPr>
              <w:pStyle w:val="TableHeading"/>
              <w:spacing w:line="276" w:lineRule="auto"/>
              <w:rPr>
                <w:rFonts w:ascii="Times New Roman" w:eastAsiaTheme="minorEastAsia" w:hAnsi="Times New Roman"/>
                <w:b w:val="0"/>
                <w:sz w:val="22"/>
                <w:szCs w:val="22"/>
                <w:lang w:val="en-GB" w:eastAsia="ko-KR" w:bidi="si-LK"/>
              </w:rPr>
            </w:pPr>
            <w:r w:rsidRPr="00612BF4">
              <w:rPr>
                <w:rFonts w:ascii="Times New Roman" w:eastAsiaTheme="minorEastAsia" w:hAnsi="Times New Roman"/>
                <w:b w:val="0"/>
                <w:sz w:val="22"/>
                <w:szCs w:val="22"/>
                <w:lang w:val="en-GB" w:eastAsia="ko-KR" w:bidi="si-LK"/>
              </w:rPr>
              <w:t>Notes</w:t>
            </w:r>
          </w:p>
        </w:tc>
      </w:tr>
      <w:tr w:rsidR="00535559" w:rsidRPr="00612BF4" w14:paraId="2EB2E426" w14:textId="77777777" w:rsidTr="00AE0C92">
        <w:tc>
          <w:tcPr>
            <w:tcW w:w="0" w:type="auto"/>
            <w:shd w:val="clear" w:color="auto" w:fill="auto"/>
          </w:tcPr>
          <w:p w14:paraId="1C428B51"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Pr>
                <w:rFonts w:eastAsiaTheme="minorEastAsia"/>
                <w:sz w:val="22"/>
                <w:szCs w:val="22"/>
                <w:lang w:val="en-GB" w:eastAsia="ko-KR" w:bidi="si-LK"/>
              </w:rPr>
              <w:t>3.6 GHz band</w:t>
            </w:r>
          </w:p>
        </w:tc>
        <w:tc>
          <w:tcPr>
            <w:tcW w:w="1310" w:type="dxa"/>
            <w:shd w:val="clear" w:color="auto" w:fill="auto"/>
          </w:tcPr>
          <w:p w14:paraId="3FE765B6"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Q2 </w:t>
            </w:r>
            <w:r w:rsidRPr="00612BF4">
              <w:rPr>
                <w:rFonts w:eastAsiaTheme="minorEastAsia"/>
                <w:sz w:val="22"/>
                <w:szCs w:val="22"/>
                <w:lang w:val="en-GB" w:eastAsia="ko-KR" w:bidi="si-LK"/>
              </w:rPr>
              <w:br/>
              <w:t>2017–18</w:t>
            </w:r>
          </w:p>
        </w:tc>
        <w:tc>
          <w:tcPr>
            <w:tcW w:w="1302" w:type="dxa"/>
            <w:shd w:val="clear" w:color="auto" w:fill="auto"/>
          </w:tcPr>
          <w:p w14:paraId="2B35D54E"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Q3 </w:t>
            </w:r>
            <w:r w:rsidRPr="00612BF4">
              <w:rPr>
                <w:rFonts w:eastAsiaTheme="minorEastAsia"/>
                <w:sz w:val="22"/>
                <w:szCs w:val="22"/>
                <w:lang w:val="en-GB" w:eastAsia="ko-KR" w:bidi="si-LK"/>
              </w:rPr>
              <w:br/>
              <w:t>2017–18</w:t>
            </w:r>
          </w:p>
        </w:tc>
        <w:tc>
          <w:tcPr>
            <w:tcW w:w="1538" w:type="dxa"/>
            <w:shd w:val="clear" w:color="auto" w:fill="auto"/>
          </w:tcPr>
          <w:p w14:paraId="4B44D12D"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Q2 </w:t>
            </w:r>
            <w:r w:rsidRPr="00612BF4">
              <w:rPr>
                <w:rFonts w:eastAsiaTheme="minorEastAsia"/>
                <w:sz w:val="22"/>
                <w:szCs w:val="22"/>
                <w:lang w:val="en-GB" w:eastAsia="ko-KR" w:bidi="si-LK"/>
              </w:rPr>
              <w:br/>
              <w:t>2018–19</w:t>
            </w:r>
          </w:p>
        </w:tc>
        <w:tc>
          <w:tcPr>
            <w:tcW w:w="2416" w:type="dxa"/>
            <w:shd w:val="clear" w:color="auto" w:fill="auto"/>
          </w:tcPr>
          <w:p w14:paraId="2A197BE6"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Pr>
                <w:rFonts w:eastAsiaTheme="minorEastAsia"/>
                <w:sz w:val="22"/>
                <w:szCs w:val="22"/>
                <w:lang w:val="en-GB" w:eastAsia="ko-KR" w:bidi="si-LK"/>
              </w:rPr>
              <w:t>Applications for this auction opened on 6 August 2018. The auction is expected to commence in late November 2018</w:t>
            </w:r>
          </w:p>
        </w:tc>
      </w:tr>
      <w:tr w:rsidR="00535559" w:rsidRPr="00612BF4" w14:paraId="1A8A27E2" w14:textId="77777777" w:rsidTr="00AE0C92">
        <w:tc>
          <w:tcPr>
            <w:tcW w:w="0" w:type="auto"/>
            <w:shd w:val="clear" w:color="auto" w:fill="F2F2F2" w:themeFill="background1" w:themeFillShade="F2"/>
          </w:tcPr>
          <w:p w14:paraId="1FE7451F"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Pr>
                <w:rFonts w:eastAsiaTheme="minorEastAsia"/>
                <w:sz w:val="22"/>
                <w:szCs w:val="22"/>
                <w:lang w:val="en-GB" w:eastAsia="ko-KR" w:bidi="si-LK"/>
              </w:rPr>
              <w:t>26 GHz</w:t>
            </w:r>
          </w:p>
        </w:tc>
        <w:tc>
          <w:tcPr>
            <w:tcW w:w="1310" w:type="dxa"/>
            <w:shd w:val="clear" w:color="auto" w:fill="F2F2F2" w:themeFill="background1" w:themeFillShade="F2"/>
          </w:tcPr>
          <w:p w14:paraId="06537C66"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Q3–4 </w:t>
            </w:r>
            <w:r w:rsidRPr="00612BF4">
              <w:rPr>
                <w:rFonts w:eastAsiaTheme="minorEastAsia"/>
                <w:sz w:val="22"/>
                <w:szCs w:val="22"/>
                <w:lang w:val="en-GB" w:eastAsia="ko-KR" w:bidi="si-LK"/>
              </w:rPr>
              <w:br/>
              <w:t>2018–19</w:t>
            </w:r>
          </w:p>
        </w:tc>
        <w:tc>
          <w:tcPr>
            <w:tcW w:w="1302" w:type="dxa"/>
            <w:shd w:val="clear" w:color="auto" w:fill="F2F2F2" w:themeFill="background1" w:themeFillShade="F2"/>
          </w:tcPr>
          <w:p w14:paraId="4BD80921"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Q1 </w:t>
            </w:r>
            <w:r w:rsidRPr="00612BF4">
              <w:rPr>
                <w:rFonts w:eastAsiaTheme="minorEastAsia"/>
                <w:sz w:val="22"/>
                <w:szCs w:val="22"/>
                <w:lang w:val="en-GB" w:eastAsia="ko-KR" w:bidi="si-LK"/>
              </w:rPr>
              <w:br/>
              <w:t xml:space="preserve">2019–20 </w:t>
            </w:r>
          </w:p>
        </w:tc>
        <w:tc>
          <w:tcPr>
            <w:tcW w:w="1538" w:type="dxa"/>
            <w:shd w:val="clear" w:color="auto" w:fill="F2F2F2" w:themeFill="background1" w:themeFillShade="F2"/>
          </w:tcPr>
          <w:p w14:paraId="39E31A0B"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sidDel="00290235">
              <w:rPr>
                <w:rFonts w:eastAsiaTheme="minorEastAsia"/>
                <w:sz w:val="22"/>
                <w:szCs w:val="22"/>
                <w:lang w:val="en-GB" w:eastAsia="ko-KR" w:bidi="si-LK"/>
              </w:rPr>
              <w:t>Q1</w:t>
            </w:r>
            <w:r w:rsidRPr="00612BF4">
              <w:rPr>
                <w:rFonts w:eastAsiaTheme="minorEastAsia"/>
                <w:sz w:val="22"/>
                <w:szCs w:val="22"/>
                <w:lang w:val="en-GB" w:eastAsia="ko-KR" w:bidi="si-LK"/>
              </w:rPr>
              <w:t xml:space="preserve">–Q2 </w:t>
            </w:r>
            <w:r w:rsidRPr="00612BF4">
              <w:rPr>
                <w:rFonts w:eastAsiaTheme="minorEastAsia"/>
                <w:sz w:val="22"/>
                <w:szCs w:val="22"/>
                <w:lang w:val="en-GB" w:eastAsia="ko-KR" w:bidi="si-LK"/>
              </w:rPr>
              <w:br/>
              <w:t>2020–21</w:t>
            </w:r>
          </w:p>
        </w:tc>
        <w:tc>
          <w:tcPr>
            <w:tcW w:w="2416" w:type="dxa"/>
            <w:shd w:val="clear" w:color="auto" w:fill="F2F2F2" w:themeFill="background1" w:themeFillShade="F2"/>
          </w:tcPr>
          <w:p w14:paraId="586AF6C7" w14:textId="77777777" w:rsidR="00535559" w:rsidRPr="00612BF4" w:rsidRDefault="00535559" w:rsidP="00AE0C92">
            <w:pPr>
              <w:keepNext/>
              <w:keepLines/>
              <w:spacing w:line="276" w:lineRule="auto"/>
              <w:rPr>
                <w:rFonts w:eastAsiaTheme="minorEastAsia"/>
                <w:sz w:val="22"/>
                <w:szCs w:val="22"/>
                <w:lang w:val="en-GB" w:eastAsia="ko-KR" w:bidi="si-LK"/>
              </w:rPr>
            </w:pPr>
            <w:r w:rsidRPr="00612BF4">
              <w:rPr>
                <w:rFonts w:eastAsiaTheme="minorEastAsia"/>
                <w:sz w:val="22"/>
                <w:szCs w:val="22"/>
                <w:lang w:val="en-GB" w:eastAsia="ko-KR" w:bidi="si-LK"/>
              </w:rPr>
              <w:t>May be allocated under new Act</w:t>
            </w:r>
          </w:p>
        </w:tc>
      </w:tr>
      <w:tr w:rsidR="00535559" w:rsidRPr="00612BF4" w14:paraId="2661A2E3" w14:textId="77777777" w:rsidTr="00AE0C92">
        <w:tc>
          <w:tcPr>
            <w:tcW w:w="0" w:type="auto"/>
            <w:shd w:val="clear" w:color="auto" w:fill="auto"/>
          </w:tcPr>
          <w:p w14:paraId="4128B8AE" w14:textId="77777777" w:rsidR="00535559" w:rsidRPr="00612BF4" w:rsidRDefault="00535559" w:rsidP="00AE0C92">
            <w:pPr>
              <w:spacing w:line="276" w:lineRule="auto"/>
              <w:rPr>
                <w:rFonts w:eastAsiaTheme="minorEastAsia"/>
                <w:sz w:val="22"/>
                <w:szCs w:val="22"/>
                <w:lang w:val="en-GB" w:eastAsia="ko-KR" w:bidi="si-LK"/>
              </w:rPr>
            </w:pPr>
            <w:r w:rsidRPr="00612BF4">
              <w:rPr>
                <w:rFonts w:eastAsiaTheme="minorEastAsia"/>
                <w:sz w:val="22"/>
                <w:szCs w:val="22"/>
                <w:lang w:val="en-GB" w:eastAsia="ko-KR" w:bidi="si-LK"/>
              </w:rPr>
              <w:t>850/900 MHz</w:t>
            </w:r>
          </w:p>
        </w:tc>
        <w:tc>
          <w:tcPr>
            <w:tcW w:w="1310" w:type="dxa"/>
            <w:shd w:val="clear" w:color="auto" w:fill="auto"/>
          </w:tcPr>
          <w:p w14:paraId="5241D229" w14:textId="77777777" w:rsidR="00535559" w:rsidRPr="00612BF4" w:rsidRDefault="00535559" w:rsidP="00AE0C92">
            <w:pPr>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Q2 </w:t>
            </w:r>
            <w:r w:rsidRPr="00612BF4">
              <w:rPr>
                <w:rFonts w:eastAsiaTheme="minorEastAsia"/>
                <w:sz w:val="22"/>
                <w:szCs w:val="22"/>
                <w:lang w:val="en-GB" w:eastAsia="ko-KR" w:bidi="si-LK"/>
              </w:rPr>
              <w:br/>
              <w:t>2018–19*</w:t>
            </w:r>
          </w:p>
        </w:tc>
        <w:tc>
          <w:tcPr>
            <w:tcW w:w="1302" w:type="dxa"/>
            <w:shd w:val="clear" w:color="auto" w:fill="auto"/>
          </w:tcPr>
          <w:p w14:paraId="42285EC3" w14:textId="77777777" w:rsidR="00535559" w:rsidRPr="00612BF4" w:rsidRDefault="00535559" w:rsidP="00AE0C92">
            <w:pPr>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Q1–2 </w:t>
            </w:r>
            <w:r w:rsidRPr="00612BF4">
              <w:rPr>
                <w:rFonts w:eastAsiaTheme="minorEastAsia"/>
                <w:sz w:val="22"/>
                <w:szCs w:val="22"/>
                <w:lang w:val="en-GB" w:eastAsia="ko-KR" w:bidi="si-LK"/>
              </w:rPr>
              <w:br/>
              <w:t>2019–20”</w:t>
            </w:r>
          </w:p>
        </w:tc>
        <w:tc>
          <w:tcPr>
            <w:tcW w:w="1538" w:type="dxa"/>
            <w:shd w:val="clear" w:color="auto" w:fill="auto"/>
          </w:tcPr>
          <w:p w14:paraId="21C83FF3" w14:textId="77777777" w:rsidR="00535559" w:rsidRPr="00612BF4" w:rsidRDefault="00535559" w:rsidP="00AE0C92">
            <w:pPr>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Q1–Q2 </w:t>
            </w:r>
            <w:r w:rsidRPr="00612BF4">
              <w:rPr>
                <w:rFonts w:eastAsiaTheme="minorEastAsia"/>
                <w:sz w:val="22"/>
                <w:szCs w:val="22"/>
                <w:lang w:val="en-GB" w:eastAsia="ko-KR" w:bidi="si-LK"/>
              </w:rPr>
              <w:br/>
              <w:t>2020–21</w:t>
            </w:r>
          </w:p>
        </w:tc>
        <w:tc>
          <w:tcPr>
            <w:tcW w:w="2416" w:type="dxa"/>
            <w:shd w:val="clear" w:color="auto" w:fill="auto"/>
          </w:tcPr>
          <w:p w14:paraId="1A4A1057" w14:textId="77777777" w:rsidR="00535559" w:rsidRPr="00612BF4" w:rsidRDefault="00535559" w:rsidP="00AE0C92">
            <w:pPr>
              <w:spacing w:line="276" w:lineRule="auto"/>
              <w:rPr>
                <w:rFonts w:eastAsiaTheme="minorEastAsia"/>
                <w:sz w:val="22"/>
                <w:szCs w:val="22"/>
                <w:lang w:val="en-GB" w:eastAsia="ko-KR" w:bidi="si-LK"/>
              </w:rPr>
            </w:pPr>
            <w:r w:rsidRPr="00612BF4">
              <w:rPr>
                <w:rFonts w:eastAsiaTheme="minorEastAsia"/>
                <w:sz w:val="22"/>
                <w:szCs w:val="22"/>
                <w:lang w:val="en-GB" w:eastAsia="ko-KR" w:bidi="si-LK"/>
              </w:rPr>
              <w:t>May be allocated under new Act</w:t>
            </w:r>
          </w:p>
        </w:tc>
      </w:tr>
      <w:tr w:rsidR="00535559" w:rsidRPr="00612BF4" w14:paraId="21ECC48B" w14:textId="77777777" w:rsidTr="00AE0C92">
        <w:tc>
          <w:tcPr>
            <w:tcW w:w="0" w:type="auto"/>
            <w:shd w:val="clear" w:color="auto" w:fill="F2F2F2" w:themeFill="background1" w:themeFillShade="F2"/>
          </w:tcPr>
          <w:p w14:paraId="0AB2AAAC" w14:textId="77777777" w:rsidR="00535559" w:rsidRPr="00612BF4" w:rsidRDefault="00535559" w:rsidP="00AE0C92">
            <w:pPr>
              <w:spacing w:line="276" w:lineRule="auto"/>
              <w:rPr>
                <w:rFonts w:eastAsiaTheme="minorEastAsia"/>
                <w:sz w:val="22"/>
                <w:szCs w:val="22"/>
                <w:lang w:val="en-GB" w:eastAsia="ko-KR" w:bidi="si-LK"/>
              </w:rPr>
            </w:pPr>
            <w:bookmarkStart w:id="36" w:name="_Hlk522785508"/>
            <w:r w:rsidRPr="00612BF4">
              <w:rPr>
                <w:rFonts w:eastAsiaTheme="minorEastAsia"/>
                <w:sz w:val="22"/>
                <w:szCs w:val="22"/>
                <w:lang w:val="en-GB" w:eastAsia="ko-KR" w:bidi="si-LK"/>
              </w:rPr>
              <w:t>1.5 GHz</w:t>
            </w:r>
          </w:p>
        </w:tc>
        <w:tc>
          <w:tcPr>
            <w:tcW w:w="1310" w:type="dxa"/>
            <w:shd w:val="clear" w:color="auto" w:fill="F2F2F2" w:themeFill="background1" w:themeFillShade="F2"/>
          </w:tcPr>
          <w:p w14:paraId="034A318D" w14:textId="77777777" w:rsidR="00535559" w:rsidRPr="00612BF4" w:rsidRDefault="00535559" w:rsidP="00AE0C92">
            <w:pPr>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Q3–4 </w:t>
            </w:r>
            <w:r w:rsidRPr="00612BF4">
              <w:rPr>
                <w:rFonts w:eastAsiaTheme="minorEastAsia"/>
                <w:sz w:val="22"/>
                <w:szCs w:val="22"/>
                <w:lang w:val="en-GB" w:eastAsia="ko-KR" w:bidi="si-LK"/>
              </w:rPr>
              <w:br/>
              <w:t>2019–20</w:t>
            </w:r>
          </w:p>
        </w:tc>
        <w:tc>
          <w:tcPr>
            <w:tcW w:w="1302" w:type="dxa"/>
            <w:shd w:val="clear" w:color="auto" w:fill="F2F2F2" w:themeFill="background1" w:themeFillShade="F2"/>
          </w:tcPr>
          <w:p w14:paraId="505B9004" w14:textId="77777777" w:rsidR="00535559" w:rsidRPr="00612BF4" w:rsidRDefault="00535559" w:rsidP="00AE0C92">
            <w:pPr>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Q3–4 </w:t>
            </w:r>
            <w:r w:rsidRPr="00612BF4">
              <w:rPr>
                <w:rFonts w:eastAsiaTheme="minorEastAsia"/>
                <w:sz w:val="22"/>
                <w:szCs w:val="22"/>
                <w:lang w:val="en-GB" w:eastAsia="ko-KR" w:bidi="si-LK"/>
              </w:rPr>
              <w:br/>
              <w:t>2019–20</w:t>
            </w:r>
          </w:p>
        </w:tc>
        <w:tc>
          <w:tcPr>
            <w:tcW w:w="1538" w:type="dxa"/>
            <w:shd w:val="clear" w:color="auto" w:fill="F2F2F2" w:themeFill="background1" w:themeFillShade="F2"/>
          </w:tcPr>
          <w:p w14:paraId="63B0C038" w14:textId="77777777" w:rsidR="00535559" w:rsidRPr="00612BF4" w:rsidRDefault="00535559" w:rsidP="00AE0C92">
            <w:pPr>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Q3–4 </w:t>
            </w:r>
            <w:r w:rsidRPr="00612BF4">
              <w:rPr>
                <w:rFonts w:eastAsiaTheme="minorEastAsia"/>
                <w:sz w:val="22"/>
                <w:szCs w:val="22"/>
                <w:lang w:val="en-GB" w:eastAsia="ko-KR" w:bidi="si-LK"/>
              </w:rPr>
              <w:br/>
              <w:t>2020–21</w:t>
            </w:r>
          </w:p>
        </w:tc>
        <w:tc>
          <w:tcPr>
            <w:tcW w:w="2416" w:type="dxa"/>
            <w:shd w:val="clear" w:color="auto" w:fill="F2F2F2" w:themeFill="background1" w:themeFillShade="F2"/>
          </w:tcPr>
          <w:p w14:paraId="0ECB223A" w14:textId="77777777" w:rsidR="00535559" w:rsidRPr="00612BF4" w:rsidRDefault="00535559" w:rsidP="00AE0C92">
            <w:pPr>
              <w:spacing w:line="276" w:lineRule="auto"/>
              <w:rPr>
                <w:rFonts w:eastAsiaTheme="minorEastAsia"/>
                <w:sz w:val="22"/>
                <w:szCs w:val="22"/>
                <w:lang w:val="en-GB" w:eastAsia="ko-KR" w:bidi="si-LK"/>
              </w:rPr>
            </w:pPr>
            <w:r w:rsidRPr="00612BF4">
              <w:rPr>
                <w:rFonts w:eastAsiaTheme="minorEastAsia"/>
                <w:sz w:val="22"/>
                <w:szCs w:val="22"/>
                <w:lang w:val="en-GB" w:eastAsia="ko-KR" w:bidi="si-LK"/>
              </w:rPr>
              <w:t xml:space="preserve">May be allocated under new Act </w:t>
            </w:r>
          </w:p>
        </w:tc>
      </w:tr>
      <w:bookmarkEnd w:id="35"/>
      <w:bookmarkEnd w:id="36"/>
    </w:tbl>
    <w:p w14:paraId="133CC830" w14:textId="77777777" w:rsidR="00535559" w:rsidRDefault="00535559" w:rsidP="00535559">
      <w:pPr>
        <w:spacing w:line="276" w:lineRule="auto"/>
        <w:jc w:val="both"/>
        <w:rPr>
          <w:rFonts w:eastAsiaTheme="minorEastAsia"/>
          <w:lang w:val="en-GB" w:eastAsia="ko-KR" w:bidi="si-LK"/>
        </w:rPr>
      </w:pPr>
    </w:p>
    <w:p w14:paraId="1DD89C0D" w14:textId="77777777" w:rsidR="00535559" w:rsidRPr="00751F9A" w:rsidRDefault="00535559" w:rsidP="00535559">
      <w:pPr>
        <w:spacing w:line="276" w:lineRule="auto"/>
        <w:jc w:val="both"/>
        <w:rPr>
          <w:rFonts w:eastAsiaTheme="minorEastAsia"/>
          <w:lang w:val="en-GB" w:eastAsia="ko-KR" w:bidi="si-LK"/>
        </w:rPr>
      </w:pPr>
      <w:r>
        <w:rPr>
          <w:rFonts w:eastAsiaTheme="minorEastAsia"/>
          <w:lang w:val="en-GB" w:eastAsia="ko-KR" w:bidi="si-LK"/>
        </w:rPr>
        <w:t>The details of FYSO 2018-22 can be found in the following link:</w:t>
      </w:r>
    </w:p>
    <w:p w14:paraId="19E7648F" w14:textId="77777777" w:rsidR="00535559" w:rsidRPr="00751F9A" w:rsidRDefault="004D3BB1" w:rsidP="00535559">
      <w:pPr>
        <w:spacing w:line="276" w:lineRule="auto"/>
        <w:jc w:val="both"/>
        <w:rPr>
          <w:rFonts w:eastAsia="Batang"/>
          <w:lang w:eastAsia="ja-JP"/>
        </w:rPr>
      </w:pPr>
      <w:hyperlink r:id="rId9" w:history="1">
        <w:r w:rsidR="00535559" w:rsidRPr="00751F9A">
          <w:rPr>
            <w:rStyle w:val="Hyperlink"/>
            <w:rFonts w:eastAsia="Batang"/>
            <w:lang w:eastAsia="ja-JP"/>
          </w:rPr>
          <w:t>https://acma.gov.au/Industry/Spectrum/Spectrum-projects/5-Year-Spectrum-Outlook</w:t>
        </w:r>
      </w:hyperlink>
    </w:p>
    <w:p w14:paraId="5D098083" w14:textId="77777777" w:rsidR="00535559" w:rsidRPr="00751F9A" w:rsidRDefault="00535559" w:rsidP="00535559">
      <w:pPr>
        <w:spacing w:line="360" w:lineRule="auto"/>
        <w:jc w:val="both"/>
        <w:rPr>
          <w:rFonts w:eastAsia="Batang"/>
          <w:lang w:eastAsia="ja-JP"/>
        </w:rPr>
      </w:pPr>
    </w:p>
    <w:p w14:paraId="50941521" w14:textId="78510DF0" w:rsidR="00535559" w:rsidRPr="00675E9D" w:rsidRDefault="00675E9D" w:rsidP="00675E9D">
      <w:pPr>
        <w:pStyle w:val="Heading2"/>
        <w:rPr>
          <w:rFonts w:ascii="Times New Roman" w:hAnsi="Times New Roman" w:cs="Times New Roman"/>
          <w:lang w:eastAsia="ko-KR"/>
        </w:rPr>
      </w:pPr>
      <w:bookmarkStart w:id="37" w:name="_Toc532128817"/>
      <w:bookmarkStart w:id="38" w:name="_Toc532128943"/>
      <w:r w:rsidRPr="00675E9D">
        <w:rPr>
          <w:rFonts w:ascii="Times New Roman" w:hAnsi="Times New Roman" w:cs="Times New Roman"/>
          <w:lang w:eastAsia="ko-KR"/>
        </w:rPr>
        <w:t>3.2</w:t>
      </w:r>
      <w:r w:rsidRPr="00675E9D">
        <w:rPr>
          <w:rFonts w:ascii="Times New Roman" w:hAnsi="Times New Roman" w:cs="Times New Roman"/>
          <w:lang w:eastAsia="ko-KR"/>
        </w:rPr>
        <w:tab/>
        <w:t>New Zealand</w:t>
      </w:r>
      <w:bookmarkEnd w:id="37"/>
      <w:bookmarkEnd w:id="38"/>
    </w:p>
    <w:p w14:paraId="5BFB7046" w14:textId="77777777" w:rsidR="00535559" w:rsidRDefault="00535559" w:rsidP="00535559">
      <w:pPr>
        <w:spacing w:line="276" w:lineRule="auto"/>
        <w:jc w:val="both"/>
        <w:rPr>
          <w:color w:val="333333"/>
        </w:rPr>
      </w:pPr>
      <w:r w:rsidRPr="0009037A">
        <w:rPr>
          <w:color w:val="333333"/>
        </w:rPr>
        <w:t>Radio Spectrum Management (RSM) is a business unit of the Ministry of Business, Innovation and Employment (MBIE) and is responsible for efficiently and effectively managing the radio spectrum in New Zealand. This includes allocating rights for the use of the spectrum, and enforcing compliance with the requirements to ensure legitimate users are able to enjoy their rights.</w:t>
      </w:r>
      <w:r>
        <w:rPr>
          <w:color w:val="333333"/>
        </w:rPr>
        <w:t xml:space="preserve"> In 2017, RSM has prepared a five-year spectrum outlook. This</w:t>
      </w:r>
      <w:r w:rsidRPr="0009037A">
        <w:rPr>
          <w:color w:val="333333"/>
        </w:rPr>
        <w:t xml:space="preserve"> Five-Year Spectrum Outlook provides industry with an overview of Radio Spectrum Management’s recent activities, discusses emerging developments in wireless communications and reports on international spectrum decisions relevant to New Zealand’s management of radio spectrum. It also provides an indicative work program for RSM for the period 2017-2021.</w:t>
      </w:r>
      <w:r>
        <w:rPr>
          <w:color w:val="333333"/>
        </w:rPr>
        <w:t xml:space="preserve"> </w:t>
      </w:r>
    </w:p>
    <w:p w14:paraId="580F0CBD" w14:textId="77777777" w:rsidR="00535559" w:rsidRDefault="00535559" w:rsidP="00535559">
      <w:pPr>
        <w:spacing w:line="276" w:lineRule="auto"/>
        <w:jc w:val="both"/>
        <w:rPr>
          <w:color w:val="333333"/>
        </w:rPr>
      </w:pPr>
      <w:r>
        <w:rPr>
          <w:color w:val="333333"/>
        </w:rPr>
        <w:t xml:space="preserve">The document focused on the spectrum trend driving changes, development on different telecommunication sector, like, mobile broadband, fixed service, aeronautical &amp; maritime service, </w:t>
      </w:r>
      <w:r>
        <w:rPr>
          <w:color w:val="333333"/>
        </w:rPr>
        <w:lastRenderedPageBreak/>
        <w:t>broadcasting service, etc.  and summarize the action points for these sectors development. Finally, it helps to prepare the work program on spectrum management for the period 2017-2021.</w:t>
      </w:r>
    </w:p>
    <w:p w14:paraId="54688A4C" w14:textId="77777777" w:rsidR="00535559" w:rsidRPr="00751F9A" w:rsidRDefault="00535559" w:rsidP="00535559">
      <w:pPr>
        <w:spacing w:line="276" w:lineRule="auto"/>
        <w:jc w:val="both"/>
        <w:rPr>
          <w:rFonts w:eastAsiaTheme="minorEastAsia"/>
          <w:lang w:val="en-GB" w:eastAsia="ko-KR" w:bidi="si-LK"/>
        </w:rPr>
      </w:pPr>
      <w:r>
        <w:rPr>
          <w:rFonts w:eastAsiaTheme="minorEastAsia"/>
          <w:lang w:val="en-GB" w:eastAsia="ko-KR" w:bidi="si-LK"/>
        </w:rPr>
        <w:t>The details of RSM 2017-2021spectrum outlook can be found in the following link:</w:t>
      </w:r>
    </w:p>
    <w:p w14:paraId="498E6511" w14:textId="77777777" w:rsidR="00535559" w:rsidRDefault="004D3BB1" w:rsidP="00535559">
      <w:pPr>
        <w:spacing w:line="276" w:lineRule="auto"/>
        <w:jc w:val="both"/>
        <w:rPr>
          <w:color w:val="333333"/>
        </w:rPr>
      </w:pPr>
      <w:hyperlink r:id="rId10" w:history="1">
        <w:r w:rsidR="00535559" w:rsidRPr="001A36ED">
          <w:rPr>
            <w:rStyle w:val="Hyperlink"/>
          </w:rPr>
          <w:t>https://www.rsm.govt.nz/online-services-resources/publications/annual-reports-and-business-plans</w:t>
        </w:r>
      </w:hyperlink>
    </w:p>
    <w:p w14:paraId="76C826BF" w14:textId="028EC906" w:rsidR="00535559" w:rsidRPr="00675E9D" w:rsidRDefault="00535559" w:rsidP="00675E9D">
      <w:pPr>
        <w:pStyle w:val="Heading2"/>
        <w:rPr>
          <w:rFonts w:ascii="Times New Roman" w:hAnsi="Times New Roman" w:cs="Times New Roman"/>
          <w:lang w:eastAsia="ko-KR"/>
        </w:rPr>
      </w:pPr>
      <w:bookmarkStart w:id="39" w:name="_Toc532128818"/>
      <w:bookmarkStart w:id="40" w:name="_Toc532128944"/>
      <w:r w:rsidRPr="00675E9D">
        <w:rPr>
          <w:rFonts w:ascii="Times New Roman" w:hAnsi="Times New Roman" w:cs="Times New Roman"/>
          <w:lang w:eastAsia="ko-KR"/>
        </w:rPr>
        <w:t>3.3</w:t>
      </w:r>
      <w:r w:rsidRPr="00675E9D">
        <w:rPr>
          <w:rFonts w:ascii="Times New Roman" w:hAnsi="Times New Roman" w:cs="Times New Roman"/>
          <w:lang w:eastAsia="ko-KR"/>
        </w:rPr>
        <w:tab/>
        <w:t>United Kingdom</w:t>
      </w:r>
      <w:bookmarkEnd w:id="39"/>
      <w:bookmarkEnd w:id="40"/>
    </w:p>
    <w:p w14:paraId="77836AF7" w14:textId="77777777" w:rsidR="00535559" w:rsidRPr="00AF0C19" w:rsidRDefault="00535559" w:rsidP="00535559">
      <w:pPr>
        <w:pStyle w:val="NormalWeb"/>
        <w:spacing w:before="0" w:beforeAutospacing="0" w:after="240" w:afterAutospacing="0" w:line="276" w:lineRule="auto"/>
        <w:jc w:val="both"/>
        <w:rPr>
          <w:rFonts w:ascii="Times New Roman" w:hAnsi="Times New Roman" w:cs="Times New Roman"/>
          <w:color w:val="333333"/>
        </w:rPr>
      </w:pPr>
      <w:proofErr w:type="spellStart"/>
      <w:r w:rsidRPr="00AF0C19">
        <w:rPr>
          <w:rFonts w:ascii="Times New Roman" w:hAnsi="Times New Roman" w:cs="Times New Roman"/>
          <w:color w:val="333333"/>
        </w:rPr>
        <w:t>Ofcom</w:t>
      </w:r>
      <w:proofErr w:type="spellEnd"/>
      <w:r w:rsidRPr="00AF0C19">
        <w:rPr>
          <w:rFonts w:ascii="Times New Roman" w:hAnsi="Times New Roman" w:cs="Times New Roman"/>
          <w:color w:val="333333"/>
        </w:rPr>
        <w:t xml:space="preserve"> has published their spectrum management annual plan 2018/19. In the document, the projects in 2018/19 are highlighted. It sets out the key spectrum-related work areas for the current year, as well as our broader program of ongoing work that includes:</w:t>
      </w:r>
    </w:p>
    <w:p w14:paraId="07AB700F" w14:textId="77777777" w:rsidR="00535559" w:rsidRPr="00AF0C19" w:rsidRDefault="00535559" w:rsidP="00535559">
      <w:pPr>
        <w:numPr>
          <w:ilvl w:val="0"/>
          <w:numId w:val="12"/>
        </w:numPr>
        <w:spacing w:line="276" w:lineRule="auto"/>
        <w:ind w:left="300"/>
        <w:rPr>
          <w:color w:val="333333"/>
        </w:rPr>
      </w:pPr>
      <w:r w:rsidRPr="00AF0C19">
        <w:rPr>
          <w:color w:val="333333"/>
        </w:rPr>
        <w:t>Preparing for future awards of spectrum bands as they are cleared and released (including the award of the 700 MHz and 3.6-3.8 GHz bands)</w:t>
      </w:r>
    </w:p>
    <w:p w14:paraId="56F69955" w14:textId="77777777" w:rsidR="00535559" w:rsidRPr="00AF0C19" w:rsidRDefault="00535559" w:rsidP="00535559">
      <w:pPr>
        <w:numPr>
          <w:ilvl w:val="0"/>
          <w:numId w:val="12"/>
        </w:numPr>
        <w:spacing w:line="276" w:lineRule="auto"/>
        <w:ind w:left="300"/>
        <w:rPr>
          <w:color w:val="333333"/>
        </w:rPr>
      </w:pPr>
      <w:r w:rsidRPr="00AF0C19">
        <w:rPr>
          <w:color w:val="333333"/>
        </w:rPr>
        <w:t>Spectrum authorization (including work on sharing)</w:t>
      </w:r>
    </w:p>
    <w:p w14:paraId="4D654053" w14:textId="77777777" w:rsidR="00535559" w:rsidRPr="00AF0C19" w:rsidRDefault="00535559" w:rsidP="00535559">
      <w:pPr>
        <w:numPr>
          <w:ilvl w:val="0"/>
          <w:numId w:val="12"/>
        </w:numPr>
        <w:spacing w:line="276" w:lineRule="auto"/>
        <w:ind w:left="300"/>
        <w:rPr>
          <w:color w:val="333333"/>
        </w:rPr>
      </w:pPr>
      <w:r w:rsidRPr="00AF0C19">
        <w:rPr>
          <w:color w:val="333333"/>
        </w:rPr>
        <w:t>Work to make sufficient spectrum available for 5G</w:t>
      </w:r>
    </w:p>
    <w:p w14:paraId="40617FF4" w14:textId="77777777" w:rsidR="00535559" w:rsidRPr="00AF0C19" w:rsidRDefault="00535559" w:rsidP="00535559">
      <w:pPr>
        <w:numPr>
          <w:ilvl w:val="0"/>
          <w:numId w:val="12"/>
        </w:numPr>
        <w:spacing w:line="276" w:lineRule="auto"/>
        <w:ind w:left="300"/>
        <w:rPr>
          <w:color w:val="333333"/>
        </w:rPr>
      </w:pPr>
      <w:r w:rsidRPr="00AF0C19">
        <w:rPr>
          <w:color w:val="333333"/>
        </w:rPr>
        <w:t>Studies to inform future requirements for spectrum (such as mobile data, the satellite and space science sectors and fixed wireless uses)</w:t>
      </w:r>
    </w:p>
    <w:p w14:paraId="77767846" w14:textId="77777777" w:rsidR="00535559" w:rsidRPr="00AF0C19" w:rsidRDefault="00535559" w:rsidP="00535559">
      <w:pPr>
        <w:numPr>
          <w:ilvl w:val="0"/>
          <w:numId w:val="12"/>
        </w:numPr>
        <w:spacing w:line="276" w:lineRule="auto"/>
        <w:ind w:left="300"/>
        <w:rPr>
          <w:color w:val="333333"/>
        </w:rPr>
      </w:pPr>
      <w:r w:rsidRPr="00AF0C19">
        <w:rPr>
          <w:color w:val="333333"/>
        </w:rPr>
        <w:t>Spectrum assurance and enforcement</w:t>
      </w:r>
    </w:p>
    <w:p w14:paraId="16F0FDF5" w14:textId="77777777" w:rsidR="00535559" w:rsidRPr="00AF0C19" w:rsidRDefault="00535559" w:rsidP="00535559">
      <w:pPr>
        <w:pStyle w:val="NormalWeb"/>
        <w:spacing w:before="0" w:beforeAutospacing="0" w:after="240" w:afterAutospacing="0" w:line="276" w:lineRule="auto"/>
        <w:rPr>
          <w:rFonts w:ascii="Times New Roman" w:hAnsi="Times New Roman" w:cs="Times New Roman"/>
          <w:color w:val="333333"/>
        </w:rPr>
      </w:pPr>
    </w:p>
    <w:p w14:paraId="364B6277" w14:textId="77777777" w:rsidR="00535559" w:rsidRPr="00AF0C19" w:rsidRDefault="00535559" w:rsidP="00535559">
      <w:pPr>
        <w:pStyle w:val="Default"/>
        <w:spacing w:line="276" w:lineRule="auto"/>
        <w:jc w:val="both"/>
        <w:rPr>
          <w:rFonts w:ascii="Times New Roman" w:eastAsiaTheme="minorHAnsi" w:hAnsi="Times New Roman" w:cs="Times New Roman"/>
          <w:lang w:bidi="ar-SA"/>
        </w:rPr>
      </w:pPr>
      <w:proofErr w:type="spellStart"/>
      <w:r w:rsidRPr="00AF0C19">
        <w:rPr>
          <w:rFonts w:ascii="Times New Roman" w:hAnsi="Times New Roman" w:cs="Times New Roman"/>
          <w:color w:val="333333"/>
        </w:rPr>
        <w:t>Ofcom</w:t>
      </w:r>
      <w:proofErr w:type="spellEnd"/>
      <w:r w:rsidRPr="00AF0C19">
        <w:rPr>
          <w:rFonts w:ascii="Times New Roman" w:hAnsi="Times New Roman" w:cs="Times New Roman"/>
          <w:color w:val="333333"/>
        </w:rPr>
        <w:t xml:space="preserve"> has Mobile Data Strategy, published on 2016. </w:t>
      </w:r>
      <w:r w:rsidRPr="00AF0C19">
        <w:rPr>
          <w:rFonts w:ascii="Times New Roman" w:eastAsiaTheme="minorHAnsi" w:hAnsi="Times New Roman" w:cs="Times New Roman"/>
        </w:rPr>
        <w:t xml:space="preserve">This document addresses the increasing use of data by mobile devices like smartphones, tablets and laptops. Spectrum plays a key role in enabling future mobile data growth, and our role is to secure the optimal use of spectrum to benefit citizen and consumers and make communications work for everyone. The strategy was first set out in a document published in May 2014 but, as this is a fast-moving industry, </w:t>
      </w:r>
      <w:proofErr w:type="spellStart"/>
      <w:r w:rsidRPr="00AF0C19">
        <w:rPr>
          <w:rFonts w:ascii="Times New Roman" w:eastAsiaTheme="minorHAnsi" w:hAnsi="Times New Roman" w:cs="Times New Roman"/>
        </w:rPr>
        <w:t>Ofcom</w:t>
      </w:r>
      <w:proofErr w:type="spellEnd"/>
      <w:r w:rsidRPr="00AF0C19">
        <w:rPr>
          <w:rFonts w:ascii="Times New Roman" w:eastAsiaTheme="minorHAnsi" w:hAnsi="Times New Roman" w:cs="Times New Roman"/>
        </w:rPr>
        <w:t xml:space="preserve"> will update stakeholders from time to time on any changes based on priorities. </w:t>
      </w:r>
    </w:p>
    <w:p w14:paraId="050D4D7F" w14:textId="77777777" w:rsidR="00535559" w:rsidRPr="00AF0C19" w:rsidRDefault="00535559" w:rsidP="00535559">
      <w:pPr>
        <w:autoSpaceDE w:val="0"/>
        <w:autoSpaceDN w:val="0"/>
        <w:adjustRightInd w:val="0"/>
        <w:spacing w:after="240" w:line="276" w:lineRule="auto"/>
        <w:jc w:val="both"/>
        <w:rPr>
          <w:rFonts w:eastAsiaTheme="minorHAnsi"/>
          <w:color w:val="000000"/>
        </w:rPr>
      </w:pPr>
      <w:r w:rsidRPr="00AF0C19">
        <w:rPr>
          <w:rFonts w:eastAsiaTheme="minorHAnsi"/>
          <w:color w:val="000000"/>
        </w:rPr>
        <w:t xml:space="preserve">There have been some changes in the landscape for mobile data since May 2014 due to technological and international developments - in particular the early development of 5G technology. Although most of the strategy continues to be fit for purpose, some adjustments should be made to continue to ensure that the UK is at the forefront of mobile technology. The prioritized bands are as follows: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701"/>
        <w:gridCol w:w="2701"/>
        <w:gridCol w:w="2701"/>
      </w:tblGrid>
      <w:tr w:rsidR="00535559" w:rsidRPr="00AF0C19" w14:paraId="7AE4D729" w14:textId="77777777" w:rsidTr="00AE0C92">
        <w:trPr>
          <w:trHeight w:val="254"/>
        </w:trPr>
        <w:tc>
          <w:tcPr>
            <w:tcW w:w="2701" w:type="dxa"/>
          </w:tcPr>
          <w:p w14:paraId="6A62A194"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bCs/>
                <w:color w:val="000000"/>
              </w:rPr>
              <w:t xml:space="preserve">Priority for further work </w:t>
            </w:r>
          </w:p>
        </w:tc>
        <w:tc>
          <w:tcPr>
            <w:tcW w:w="2701" w:type="dxa"/>
          </w:tcPr>
          <w:p w14:paraId="64DD9D8E" w14:textId="77777777" w:rsidR="00535559" w:rsidRPr="00AF0C19" w:rsidRDefault="00535559" w:rsidP="00AE0C92">
            <w:pPr>
              <w:autoSpaceDE w:val="0"/>
              <w:autoSpaceDN w:val="0"/>
              <w:adjustRightInd w:val="0"/>
              <w:spacing w:line="276" w:lineRule="auto"/>
              <w:jc w:val="center"/>
              <w:rPr>
                <w:rFonts w:eastAsiaTheme="minorHAnsi"/>
                <w:color w:val="000000"/>
              </w:rPr>
            </w:pPr>
            <w:r w:rsidRPr="00AF0C19">
              <w:rPr>
                <w:rFonts w:eastAsiaTheme="minorHAnsi"/>
                <w:bCs/>
                <w:color w:val="000000"/>
              </w:rPr>
              <w:t xml:space="preserve">2014 </w:t>
            </w:r>
          </w:p>
        </w:tc>
        <w:tc>
          <w:tcPr>
            <w:tcW w:w="2701" w:type="dxa"/>
          </w:tcPr>
          <w:p w14:paraId="24F234EB" w14:textId="77777777" w:rsidR="00535559" w:rsidRPr="00AF0C19" w:rsidRDefault="00535559" w:rsidP="00AE0C92">
            <w:pPr>
              <w:autoSpaceDE w:val="0"/>
              <w:autoSpaceDN w:val="0"/>
              <w:adjustRightInd w:val="0"/>
              <w:spacing w:line="276" w:lineRule="auto"/>
              <w:jc w:val="center"/>
              <w:rPr>
                <w:rFonts w:eastAsiaTheme="minorHAnsi"/>
                <w:color w:val="000000"/>
              </w:rPr>
            </w:pPr>
            <w:r w:rsidRPr="00AF0C19">
              <w:rPr>
                <w:rFonts w:eastAsiaTheme="minorHAnsi"/>
                <w:bCs/>
                <w:color w:val="000000"/>
              </w:rPr>
              <w:t xml:space="preserve">2016 </w:t>
            </w:r>
          </w:p>
        </w:tc>
      </w:tr>
      <w:tr w:rsidR="00535559" w:rsidRPr="00AF0C19" w14:paraId="2A18F5D5" w14:textId="77777777" w:rsidTr="00AE0C92">
        <w:trPr>
          <w:trHeight w:val="511"/>
        </w:trPr>
        <w:tc>
          <w:tcPr>
            <w:tcW w:w="2701" w:type="dxa"/>
          </w:tcPr>
          <w:p w14:paraId="381F3E26" w14:textId="77777777" w:rsidR="00535559" w:rsidRPr="00AF0C19" w:rsidRDefault="00535559" w:rsidP="00AE0C92">
            <w:pPr>
              <w:autoSpaceDE w:val="0"/>
              <w:autoSpaceDN w:val="0"/>
              <w:adjustRightInd w:val="0"/>
              <w:spacing w:line="276" w:lineRule="auto"/>
              <w:jc w:val="center"/>
              <w:rPr>
                <w:rFonts w:eastAsiaTheme="minorHAnsi"/>
                <w:color w:val="000000"/>
              </w:rPr>
            </w:pPr>
          </w:p>
          <w:p w14:paraId="21A01432" w14:textId="77777777" w:rsidR="00535559" w:rsidRPr="00AF0C19" w:rsidRDefault="00535559" w:rsidP="00AE0C92">
            <w:pPr>
              <w:autoSpaceDE w:val="0"/>
              <w:autoSpaceDN w:val="0"/>
              <w:adjustRightInd w:val="0"/>
              <w:spacing w:line="276" w:lineRule="auto"/>
              <w:jc w:val="center"/>
              <w:rPr>
                <w:rFonts w:eastAsiaTheme="minorHAnsi"/>
                <w:color w:val="000000"/>
              </w:rPr>
            </w:pPr>
            <w:r w:rsidRPr="00AF0C19">
              <w:rPr>
                <w:rFonts w:eastAsiaTheme="minorHAnsi"/>
                <w:color w:val="000000"/>
              </w:rPr>
              <w:t xml:space="preserve">Current priorities </w:t>
            </w:r>
          </w:p>
        </w:tc>
        <w:tc>
          <w:tcPr>
            <w:tcW w:w="2701" w:type="dxa"/>
          </w:tcPr>
          <w:p w14:paraId="15337438" w14:textId="77777777" w:rsidR="00535559" w:rsidRPr="00AF0C19" w:rsidRDefault="00535559" w:rsidP="00AE0C92">
            <w:pPr>
              <w:autoSpaceDE w:val="0"/>
              <w:autoSpaceDN w:val="0"/>
              <w:adjustRightInd w:val="0"/>
              <w:spacing w:line="276" w:lineRule="auto"/>
              <w:rPr>
                <w:rFonts w:eastAsiaTheme="minorHAnsi"/>
              </w:rPr>
            </w:pPr>
          </w:p>
          <w:p w14:paraId="71FE48B4"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700 MHz </w:t>
            </w:r>
          </w:p>
          <w:p w14:paraId="433822B8"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2.3 GHz, 3.4 GHz </w:t>
            </w:r>
          </w:p>
          <w:p w14:paraId="5B98B419"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UHF white space (shared) </w:t>
            </w:r>
          </w:p>
          <w:p w14:paraId="0C421953" w14:textId="77777777" w:rsidR="00535559" w:rsidRPr="00AF0C19" w:rsidRDefault="00535559" w:rsidP="00AE0C92">
            <w:pPr>
              <w:autoSpaceDE w:val="0"/>
              <w:autoSpaceDN w:val="0"/>
              <w:adjustRightInd w:val="0"/>
              <w:spacing w:line="276" w:lineRule="auto"/>
              <w:rPr>
                <w:rFonts w:eastAsiaTheme="minorHAnsi"/>
                <w:color w:val="000000"/>
              </w:rPr>
            </w:pPr>
          </w:p>
        </w:tc>
        <w:tc>
          <w:tcPr>
            <w:tcW w:w="2701" w:type="dxa"/>
          </w:tcPr>
          <w:p w14:paraId="5ED22A64" w14:textId="77777777" w:rsidR="00535559" w:rsidRPr="00AF0C19" w:rsidRDefault="00535559" w:rsidP="00AE0C92">
            <w:pPr>
              <w:autoSpaceDE w:val="0"/>
              <w:autoSpaceDN w:val="0"/>
              <w:adjustRightInd w:val="0"/>
              <w:spacing w:line="276" w:lineRule="auto"/>
              <w:jc w:val="center"/>
              <w:rPr>
                <w:rFonts w:eastAsiaTheme="minorHAnsi"/>
              </w:rPr>
            </w:pPr>
          </w:p>
          <w:p w14:paraId="3FB122BB"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700 MHz </w:t>
            </w:r>
          </w:p>
          <w:p w14:paraId="098E4910"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2.3 GHz, 3.4 GHz </w:t>
            </w:r>
          </w:p>
          <w:p w14:paraId="32959838"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Implemented </w:t>
            </w:r>
          </w:p>
          <w:p w14:paraId="2FFD7908" w14:textId="77777777" w:rsidR="00535559" w:rsidRPr="00AF0C19" w:rsidRDefault="00535559" w:rsidP="00AE0C92">
            <w:pPr>
              <w:autoSpaceDE w:val="0"/>
              <w:autoSpaceDN w:val="0"/>
              <w:adjustRightInd w:val="0"/>
              <w:spacing w:line="276" w:lineRule="auto"/>
              <w:rPr>
                <w:rFonts w:eastAsiaTheme="minorHAnsi"/>
                <w:color w:val="000000"/>
              </w:rPr>
            </w:pPr>
          </w:p>
        </w:tc>
      </w:tr>
      <w:tr w:rsidR="00535559" w:rsidRPr="00AF0C19" w14:paraId="732DB1B5" w14:textId="77777777" w:rsidTr="00AE0C92">
        <w:trPr>
          <w:trHeight w:val="1825"/>
        </w:trPr>
        <w:tc>
          <w:tcPr>
            <w:tcW w:w="2701" w:type="dxa"/>
          </w:tcPr>
          <w:p w14:paraId="1A9BC2A0" w14:textId="77777777" w:rsidR="00535559" w:rsidRPr="00AF0C19" w:rsidRDefault="00535559" w:rsidP="00AE0C92">
            <w:pPr>
              <w:autoSpaceDE w:val="0"/>
              <w:autoSpaceDN w:val="0"/>
              <w:adjustRightInd w:val="0"/>
              <w:spacing w:line="276" w:lineRule="auto"/>
              <w:jc w:val="center"/>
              <w:rPr>
                <w:rFonts w:eastAsiaTheme="minorHAnsi"/>
                <w:color w:val="000000"/>
              </w:rPr>
            </w:pPr>
            <w:r w:rsidRPr="00AF0C19">
              <w:rPr>
                <w:rFonts w:eastAsiaTheme="minorHAnsi"/>
                <w:bCs/>
                <w:color w:val="000000"/>
              </w:rPr>
              <w:lastRenderedPageBreak/>
              <w:t xml:space="preserve">High </w:t>
            </w:r>
          </w:p>
        </w:tc>
        <w:tc>
          <w:tcPr>
            <w:tcW w:w="2701" w:type="dxa"/>
          </w:tcPr>
          <w:p w14:paraId="64862A39" w14:textId="77777777" w:rsidR="00535559" w:rsidRPr="00AF0C19" w:rsidRDefault="00535559" w:rsidP="00AE0C92">
            <w:pPr>
              <w:autoSpaceDE w:val="0"/>
              <w:autoSpaceDN w:val="0"/>
              <w:adjustRightInd w:val="0"/>
              <w:spacing w:line="276" w:lineRule="auto"/>
              <w:jc w:val="center"/>
              <w:rPr>
                <w:rFonts w:eastAsiaTheme="minorHAnsi"/>
              </w:rPr>
            </w:pPr>
          </w:p>
          <w:p w14:paraId="0A0EAC18"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1452-1492 MHz </w:t>
            </w:r>
          </w:p>
          <w:p w14:paraId="6FECD0F5" w14:textId="77777777" w:rsidR="00535559" w:rsidRPr="00AF0C19" w:rsidRDefault="00535559" w:rsidP="00AE0C92">
            <w:pPr>
              <w:autoSpaceDE w:val="0"/>
              <w:autoSpaceDN w:val="0"/>
              <w:adjustRightInd w:val="0"/>
              <w:spacing w:line="276" w:lineRule="auto"/>
              <w:rPr>
                <w:rFonts w:eastAsiaTheme="minorHAnsi"/>
                <w:color w:val="000000"/>
              </w:rPr>
            </w:pPr>
          </w:p>
          <w:p w14:paraId="6B1948B4" w14:textId="77777777" w:rsidR="00535559" w:rsidRPr="00AF0C19" w:rsidRDefault="00535559" w:rsidP="00AE0C92">
            <w:pPr>
              <w:autoSpaceDE w:val="0"/>
              <w:autoSpaceDN w:val="0"/>
              <w:adjustRightInd w:val="0"/>
              <w:spacing w:line="276" w:lineRule="auto"/>
              <w:jc w:val="center"/>
              <w:rPr>
                <w:rFonts w:eastAsiaTheme="minorHAnsi"/>
                <w:color w:val="000000"/>
              </w:rPr>
            </w:pPr>
          </w:p>
          <w:p w14:paraId="44070B6A"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1980-2010 / 2170-2200 MHz (‘2 GHz MSS’) </w:t>
            </w:r>
          </w:p>
          <w:p w14:paraId="5D4DBC3F"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3.6-3.8 GHz </w:t>
            </w:r>
          </w:p>
          <w:p w14:paraId="0A3B9575"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5-6 GHz Wi-Fi (5350-5470 MHz, 5725-5925 MHz) (shared) </w:t>
            </w:r>
          </w:p>
          <w:p w14:paraId="2AE15171" w14:textId="77777777" w:rsidR="00535559" w:rsidRPr="00AF0C19" w:rsidRDefault="00535559" w:rsidP="00AE0C92">
            <w:pPr>
              <w:autoSpaceDE w:val="0"/>
              <w:autoSpaceDN w:val="0"/>
              <w:adjustRightInd w:val="0"/>
              <w:spacing w:line="276" w:lineRule="auto"/>
              <w:rPr>
                <w:rFonts w:eastAsiaTheme="minorHAnsi"/>
                <w:color w:val="000000"/>
              </w:rPr>
            </w:pPr>
          </w:p>
        </w:tc>
        <w:tc>
          <w:tcPr>
            <w:tcW w:w="2701" w:type="dxa"/>
          </w:tcPr>
          <w:p w14:paraId="20FE2EC6" w14:textId="77777777" w:rsidR="00535559" w:rsidRPr="00AF0C19" w:rsidRDefault="00535559" w:rsidP="00AE0C92">
            <w:pPr>
              <w:autoSpaceDE w:val="0"/>
              <w:autoSpaceDN w:val="0"/>
              <w:adjustRightInd w:val="0"/>
              <w:spacing w:line="276" w:lineRule="auto"/>
              <w:rPr>
                <w:rFonts w:eastAsiaTheme="minorHAnsi"/>
              </w:rPr>
            </w:pPr>
          </w:p>
          <w:p w14:paraId="525529C9"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Implemented </w:t>
            </w:r>
          </w:p>
          <w:p w14:paraId="2830E547"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w:t>
            </w:r>
            <w:r w:rsidRPr="00AF0C19">
              <w:rPr>
                <w:rFonts w:eastAsiaTheme="minorHAnsi"/>
                <w:bCs/>
                <w:color w:val="000000"/>
              </w:rPr>
              <w:t xml:space="preserve">1427-1452 &amp; 1492-1518 MHz (increased priority) </w:t>
            </w:r>
          </w:p>
          <w:p w14:paraId="76D8A5CA" w14:textId="77777777" w:rsidR="00535559" w:rsidRPr="00AF0C19" w:rsidRDefault="00535559" w:rsidP="00AE0C92">
            <w:pPr>
              <w:autoSpaceDE w:val="0"/>
              <w:autoSpaceDN w:val="0"/>
              <w:adjustRightInd w:val="0"/>
              <w:spacing w:line="276" w:lineRule="auto"/>
              <w:rPr>
                <w:rFonts w:eastAsiaTheme="minorHAnsi"/>
                <w:color w:val="000000"/>
              </w:rPr>
            </w:pPr>
          </w:p>
          <w:p w14:paraId="705D1DC8" w14:textId="77777777" w:rsidR="00535559" w:rsidRPr="00AF0C19" w:rsidRDefault="00535559" w:rsidP="00AE0C92">
            <w:pPr>
              <w:autoSpaceDE w:val="0"/>
              <w:autoSpaceDN w:val="0"/>
              <w:adjustRightInd w:val="0"/>
              <w:spacing w:line="276" w:lineRule="auto"/>
              <w:jc w:val="center"/>
              <w:rPr>
                <w:rFonts w:eastAsiaTheme="minorHAnsi"/>
                <w:color w:val="000000"/>
              </w:rPr>
            </w:pPr>
          </w:p>
          <w:p w14:paraId="3F4C74F9"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w:t>
            </w:r>
            <w:r w:rsidRPr="00AF0C19">
              <w:rPr>
                <w:rFonts w:eastAsiaTheme="minorHAnsi"/>
                <w:bCs/>
                <w:color w:val="000000"/>
              </w:rPr>
              <w:t xml:space="preserve">Removed </w:t>
            </w:r>
          </w:p>
          <w:p w14:paraId="73303CE9" w14:textId="77777777" w:rsidR="00535559" w:rsidRPr="00AF0C19" w:rsidRDefault="00535559" w:rsidP="00AE0C92">
            <w:pPr>
              <w:autoSpaceDE w:val="0"/>
              <w:autoSpaceDN w:val="0"/>
              <w:adjustRightInd w:val="0"/>
              <w:spacing w:line="276" w:lineRule="auto"/>
              <w:rPr>
                <w:rFonts w:eastAsiaTheme="minorHAnsi"/>
                <w:color w:val="000000"/>
              </w:rPr>
            </w:pPr>
          </w:p>
          <w:p w14:paraId="1C9DA94A" w14:textId="77777777" w:rsidR="00535559" w:rsidRPr="00AF0C19" w:rsidRDefault="00535559" w:rsidP="00AE0C92">
            <w:pPr>
              <w:autoSpaceDE w:val="0"/>
              <w:autoSpaceDN w:val="0"/>
              <w:adjustRightInd w:val="0"/>
              <w:spacing w:line="276" w:lineRule="auto"/>
              <w:rPr>
                <w:rFonts w:eastAsiaTheme="minorHAnsi"/>
                <w:color w:val="000000"/>
              </w:rPr>
            </w:pPr>
          </w:p>
          <w:p w14:paraId="67742C0F"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3.6-3.8 GHz </w:t>
            </w:r>
          </w:p>
          <w:p w14:paraId="6ECB33C8"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5-6 GHz Wi-Fi (</w:t>
            </w:r>
            <w:r w:rsidRPr="00AF0C19">
              <w:rPr>
                <w:rFonts w:eastAsiaTheme="minorHAnsi"/>
                <w:bCs/>
                <w:color w:val="000000"/>
              </w:rPr>
              <w:t>emphasis now on 5725-5850 MHz</w:t>
            </w:r>
            <w:r w:rsidRPr="00AF0C19">
              <w:rPr>
                <w:rFonts w:eastAsiaTheme="minorHAnsi"/>
                <w:color w:val="000000"/>
              </w:rPr>
              <w:t xml:space="preserve">) </w:t>
            </w:r>
          </w:p>
          <w:p w14:paraId="048E74EC" w14:textId="77777777" w:rsidR="00535559" w:rsidRPr="00AF0C19" w:rsidRDefault="00535559" w:rsidP="00AE0C92">
            <w:pPr>
              <w:autoSpaceDE w:val="0"/>
              <w:autoSpaceDN w:val="0"/>
              <w:adjustRightInd w:val="0"/>
              <w:spacing w:line="276" w:lineRule="auto"/>
              <w:rPr>
                <w:rFonts w:eastAsiaTheme="minorHAnsi"/>
                <w:color w:val="000000"/>
              </w:rPr>
            </w:pPr>
          </w:p>
          <w:p w14:paraId="68283F8C" w14:textId="77777777" w:rsidR="00535559" w:rsidRPr="00AF0C19" w:rsidRDefault="00535559" w:rsidP="00AE0C92">
            <w:pPr>
              <w:autoSpaceDE w:val="0"/>
              <w:autoSpaceDN w:val="0"/>
              <w:adjustRightInd w:val="0"/>
              <w:spacing w:line="276" w:lineRule="auto"/>
              <w:rPr>
                <w:rFonts w:eastAsiaTheme="minorHAnsi"/>
                <w:color w:val="000000"/>
              </w:rPr>
            </w:pPr>
          </w:p>
          <w:p w14:paraId="6B1AD871"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w:t>
            </w:r>
            <w:proofErr w:type="spellStart"/>
            <w:r w:rsidRPr="00AF0C19">
              <w:rPr>
                <w:rFonts w:eastAsiaTheme="minorHAnsi"/>
                <w:bCs/>
                <w:color w:val="000000"/>
              </w:rPr>
              <w:t>mmWave</w:t>
            </w:r>
            <w:proofErr w:type="spellEnd"/>
            <w:r w:rsidRPr="00AF0C19">
              <w:rPr>
                <w:rFonts w:eastAsiaTheme="minorHAnsi"/>
                <w:bCs/>
                <w:color w:val="000000"/>
              </w:rPr>
              <w:t xml:space="preserve"> bands added </w:t>
            </w:r>
          </w:p>
          <w:p w14:paraId="7FEE472E" w14:textId="77777777" w:rsidR="00535559" w:rsidRPr="00AF0C19" w:rsidRDefault="00535559" w:rsidP="00AE0C92">
            <w:pPr>
              <w:autoSpaceDE w:val="0"/>
              <w:autoSpaceDN w:val="0"/>
              <w:adjustRightInd w:val="0"/>
              <w:spacing w:line="276" w:lineRule="auto"/>
              <w:rPr>
                <w:rFonts w:eastAsiaTheme="minorHAnsi"/>
                <w:color w:val="000000"/>
              </w:rPr>
            </w:pPr>
          </w:p>
        </w:tc>
      </w:tr>
      <w:tr w:rsidR="00535559" w:rsidRPr="00AF0C19" w14:paraId="3DA0E51A" w14:textId="77777777" w:rsidTr="00AE0C92">
        <w:trPr>
          <w:trHeight w:val="637"/>
        </w:trPr>
        <w:tc>
          <w:tcPr>
            <w:tcW w:w="2701" w:type="dxa"/>
          </w:tcPr>
          <w:p w14:paraId="3B0772A7"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bCs/>
                <w:color w:val="000000"/>
              </w:rPr>
              <w:t xml:space="preserve">Medium-High </w:t>
            </w:r>
          </w:p>
        </w:tc>
        <w:tc>
          <w:tcPr>
            <w:tcW w:w="2701" w:type="dxa"/>
          </w:tcPr>
          <w:p w14:paraId="27C63AEC" w14:textId="77777777" w:rsidR="00535559" w:rsidRPr="00AF0C19" w:rsidRDefault="00535559" w:rsidP="00AE0C92">
            <w:pPr>
              <w:autoSpaceDE w:val="0"/>
              <w:autoSpaceDN w:val="0"/>
              <w:adjustRightInd w:val="0"/>
              <w:spacing w:line="276" w:lineRule="auto"/>
              <w:jc w:val="center"/>
              <w:rPr>
                <w:rFonts w:eastAsiaTheme="minorHAnsi"/>
              </w:rPr>
            </w:pPr>
          </w:p>
          <w:p w14:paraId="7ACF49CB"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1427-1452 MHz (shared) </w:t>
            </w:r>
          </w:p>
          <w:p w14:paraId="7D4EFDAF" w14:textId="77777777" w:rsidR="00535559" w:rsidRPr="00AF0C19" w:rsidRDefault="00535559" w:rsidP="00AE0C92">
            <w:pPr>
              <w:autoSpaceDE w:val="0"/>
              <w:autoSpaceDN w:val="0"/>
              <w:adjustRightInd w:val="0"/>
              <w:spacing w:line="276" w:lineRule="auto"/>
              <w:rPr>
                <w:rFonts w:eastAsiaTheme="minorHAnsi"/>
                <w:color w:val="000000"/>
              </w:rPr>
            </w:pPr>
          </w:p>
          <w:p w14:paraId="5A67160A" w14:textId="77777777" w:rsidR="00535559" w:rsidRPr="00AF0C19" w:rsidRDefault="00535559" w:rsidP="00AE0C92">
            <w:pPr>
              <w:autoSpaceDE w:val="0"/>
              <w:autoSpaceDN w:val="0"/>
              <w:adjustRightInd w:val="0"/>
              <w:spacing w:line="276" w:lineRule="auto"/>
              <w:rPr>
                <w:rFonts w:eastAsiaTheme="minorHAnsi"/>
                <w:color w:val="000000"/>
              </w:rPr>
            </w:pPr>
          </w:p>
          <w:p w14:paraId="3FC55407"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3.8-4.2 GHz (shared) </w:t>
            </w:r>
          </w:p>
          <w:p w14:paraId="10355495" w14:textId="77777777" w:rsidR="00535559" w:rsidRPr="00AF0C19" w:rsidRDefault="00535559" w:rsidP="00AE0C92">
            <w:pPr>
              <w:autoSpaceDE w:val="0"/>
              <w:autoSpaceDN w:val="0"/>
              <w:adjustRightInd w:val="0"/>
              <w:spacing w:line="276" w:lineRule="auto"/>
              <w:rPr>
                <w:rFonts w:eastAsiaTheme="minorHAnsi"/>
                <w:color w:val="000000"/>
              </w:rPr>
            </w:pPr>
          </w:p>
        </w:tc>
        <w:tc>
          <w:tcPr>
            <w:tcW w:w="2701" w:type="dxa"/>
          </w:tcPr>
          <w:p w14:paraId="68FA88E8" w14:textId="77777777" w:rsidR="00535559" w:rsidRPr="00AF0C19" w:rsidRDefault="00535559" w:rsidP="00AE0C92">
            <w:pPr>
              <w:autoSpaceDE w:val="0"/>
              <w:autoSpaceDN w:val="0"/>
              <w:adjustRightInd w:val="0"/>
              <w:spacing w:line="276" w:lineRule="auto"/>
              <w:jc w:val="center"/>
              <w:rPr>
                <w:rFonts w:eastAsiaTheme="minorHAnsi"/>
              </w:rPr>
            </w:pPr>
          </w:p>
          <w:p w14:paraId="6E630FA2"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w:t>
            </w:r>
            <w:r w:rsidRPr="00AF0C19">
              <w:rPr>
                <w:rFonts w:eastAsiaTheme="minorHAnsi"/>
                <w:bCs/>
                <w:color w:val="000000"/>
              </w:rPr>
              <w:t xml:space="preserve">Increased priority </w:t>
            </w:r>
          </w:p>
          <w:p w14:paraId="695BB482" w14:textId="77777777" w:rsidR="00535559" w:rsidRPr="00AF0C19" w:rsidRDefault="00535559" w:rsidP="00AE0C92">
            <w:pPr>
              <w:autoSpaceDE w:val="0"/>
              <w:autoSpaceDN w:val="0"/>
              <w:adjustRightInd w:val="0"/>
              <w:spacing w:line="276" w:lineRule="auto"/>
              <w:rPr>
                <w:rFonts w:eastAsiaTheme="minorHAnsi"/>
                <w:color w:val="000000"/>
              </w:rPr>
            </w:pPr>
          </w:p>
          <w:p w14:paraId="7E28C666" w14:textId="77777777" w:rsidR="00535559" w:rsidRPr="00AF0C19" w:rsidRDefault="00535559" w:rsidP="00AE0C92">
            <w:pPr>
              <w:autoSpaceDE w:val="0"/>
              <w:autoSpaceDN w:val="0"/>
              <w:adjustRightInd w:val="0"/>
              <w:spacing w:line="276" w:lineRule="auto"/>
              <w:rPr>
                <w:rFonts w:eastAsiaTheme="minorHAnsi"/>
                <w:color w:val="000000"/>
              </w:rPr>
            </w:pPr>
          </w:p>
          <w:p w14:paraId="7D503BD3"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w:t>
            </w:r>
            <w:r w:rsidRPr="00AF0C19">
              <w:rPr>
                <w:rFonts w:eastAsiaTheme="minorHAnsi"/>
                <w:bCs/>
                <w:color w:val="000000"/>
              </w:rPr>
              <w:t xml:space="preserve">Examining responses to a call for inputs </w:t>
            </w:r>
          </w:p>
          <w:p w14:paraId="0A1408C3" w14:textId="77777777" w:rsidR="00535559" w:rsidRPr="00AF0C19" w:rsidRDefault="00535559" w:rsidP="00AE0C92">
            <w:pPr>
              <w:autoSpaceDE w:val="0"/>
              <w:autoSpaceDN w:val="0"/>
              <w:adjustRightInd w:val="0"/>
              <w:spacing w:line="276" w:lineRule="auto"/>
              <w:rPr>
                <w:rFonts w:eastAsiaTheme="minorHAnsi"/>
                <w:color w:val="000000"/>
              </w:rPr>
            </w:pPr>
          </w:p>
        </w:tc>
      </w:tr>
      <w:tr w:rsidR="00535559" w:rsidRPr="00AF0C19" w14:paraId="0006EF60" w14:textId="77777777" w:rsidTr="00AE0C92">
        <w:trPr>
          <w:trHeight w:val="813"/>
        </w:trPr>
        <w:tc>
          <w:tcPr>
            <w:tcW w:w="2701" w:type="dxa"/>
          </w:tcPr>
          <w:p w14:paraId="6081DC21"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bCs/>
                <w:color w:val="000000"/>
              </w:rPr>
              <w:t xml:space="preserve">Medium </w:t>
            </w:r>
          </w:p>
        </w:tc>
        <w:tc>
          <w:tcPr>
            <w:tcW w:w="2701" w:type="dxa"/>
          </w:tcPr>
          <w:p w14:paraId="70E6B4FA" w14:textId="77777777" w:rsidR="00535559" w:rsidRPr="00AF0C19" w:rsidRDefault="00535559" w:rsidP="00AE0C92">
            <w:pPr>
              <w:autoSpaceDE w:val="0"/>
              <w:autoSpaceDN w:val="0"/>
              <w:adjustRightInd w:val="0"/>
              <w:spacing w:line="276" w:lineRule="auto"/>
              <w:jc w:val="center"/>
              <w:rPr>
                <w:rFonts w:eastAsiaTheme="minorHAnsi"/>
              </w:rPr>
            </w:pPr>
          </w:p>
          <w:p w14:paraId="5DB9D69A"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470-694 MHz (very long term) </w:t>
            </w:r>
          </w:p>
          <w:p w14:paraId="3D6AAE7B"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2.7-2.9 GHz </w:t>
            </w:r>
          </w:p>
          <w:p w14:paraId="40B48B09"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1492-1518 MHz </w:t>
            </w:r>
          </w:p>
          <w:p w14:paraId="6946B6C0"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5.925 – 6.425 GHz </w:t>
            </w:r>
          </w:p>
          <w:p w14:paraId="58DDE5D3" w14:textId="77777777" w:rsidR="00535559" w:rsidRPr="00AF0C19" w:rsidRDefault="00535559" w:rsidP="00AE0C92">
            <w:pPr>
              <w:autoSpaceDE w:val="0"/>
              <w:autoSpaceDN w:val="0"/>
              <w:adjustRightInd w:val="0"/>
              <w:spacing w:line="276" w:lineRule="auto"/>
              <w:rPr>
                <w:rFonts w:eastAsiaTheme="minorHAnsi"/>
                <w:color w:val="000000"/>
              </w:rPr>
            </w:pPr>
          </w:p>
        </w:tc>
        <w:tc>
          <w:tcPr>
            <w:tcW w:w="2701" w:type="dxa"/>
          </w:tcPr>
          <w:p w14:paraId="53C6B614" w14:textId="77777777" w:rsidR="00535559" w:rsidRPr="00AF0C19" w:rsidRDefault="00535559" w:rsidP="00AE0C92">
            <w:pPr>
              <w:autoSpaceDE w:val="0"/>
              <w:autoSpaceDN w:val="0"/>
              <w:adjustRightInd w:val="0"/>
              <w:spacing w:line="276" w:lineRule="auto"/>
              <w:jc w:val="center"/>
              <w:rPr>
                <w:rFonts w:eastAsiaTheme="minorHAnsi"/>
              </w:rPr>
            </w:pPr>
          </w:p>
          <w:p w14:paraId="094402B9"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470-694 MHz (very long term) </w:t>
            </w:r>
          </w:p>
          <w:p w14:paraId="11292470"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w:t>
            </w:r>
            <w:r w:rsidRPr="00AF0C19">
              <w:rPr>
                <w:rFonts w:eastAsiaTheme="minorHAnsi"/>
                <w:bCs/>
                <w:color w:val="000000"/>
              </w:rPr>
              <w:t xml:space="preserve">Removed </w:t>
            </w:r>
          </w:p>
          <w:p w14:paraId="72679D20"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w:t>
            </w:r>
            <w:r w:rsidRPr="00AF0C19">
              <w:rPr>
                <w:rFonts w:eastAsiaTheme="minorHAnsi"/>
                <w:bCs/>
                <w:color w:val="000000"/>
              </w:rPr>
              <w:t xml:space="preserve">Increased priority </w:t>
            </w:r>
          </w:p>
          <w:p w14:paraId="0C03B68F" w14:textId="77777777" w:rsidR="00535559" w:rsidRPr="00AF0C19" w:rsidRDefault="00535559" w:rsidP="00AE0C92">
            <w:pPr>
              <w:autoSpaceDE w:val="0"/>
              <w:autoSpaceDN w:val="0"/>
              <w:adjustRightInd w:val="0"/>
              <w:spacing w:line="276" w:lineRule="auto"/>
              <w:rPr>
                <w:rFonts w:eastAsiaTheme="minorHAnsi"/>
                <w:color w:val="000000"/>
              </w:rPr>
            </w:pPr>
            <w:r w:rsidRPr="00AF0C19">
              <w:rPr>
                <w:rFonts w:eastAsiaTheme="minorHAnsi"/>
                <w:color w:val="000000"/>
              </w:rPr>
              <w:t xml:space="preserve">• </w:t>
            </w:r>
            <w:r w:rsidRPr="00AF0C19">
              <w:rPr>
                <w:rFonts w:eastAsiaTheme="minorHAnsi"/>
                <w:bCs/>
                <w:color w:val="000000"/>
              </w:rPr>
              <w:t xml:space="preserve">Removed </w:t>
            </w:r>
          </w:p>
          <w:p w14:paraId="057F4F04" w14:textId="77777777" w:rsidR="00535559" w:rsidRPr="00AF0C19" w:rsidRDefault="00535559" w:rsidP="00AE0C92">
            <w:pPr>
              <w:autoSpaceDE w:val="0"/>
              <w:autoSpaceDN w:val="0"/>
              <w:adjustRightInd w:val="0"/>
              <w:spacing w:line="276" w:lineRule="auto"/>
              <w:rPr>
                <w:rFonts w:eastAsiaTheme="minorHAnsi"/>
                <w:color w:val="000000"/>
              </w:rPr>
            </w:pPr>
          </w:p>
        </w:tc>
      </w:tr>
    </w:tbl>
    <w:p w14:paraId="2519DBB7" w14:textId="77777777" w:rsidR="00535559" w:rsidRPr="00AF0C19" w:rsidRDefault="00535559" w:rsidP="00535559">
      <w:pPr>
        <w:spacing w:line="276" w:lineRule="auto"/>
        <w:jc w:val="both"/>
        <w:rPr>
          <w:rFonts w:eastAsia="Batang"/>
          <w:lang w:eastAsia="ja-JP"/>
        </w:rPr>
      </w:pPr>
    </w:p>
    <w:p w14:paraId="6C0ECAE7" w14:textId="77777777" w:rsidR="00535559" w:rsidRPr="00AF0C19" w:rsidRDefault="00535559" w:rsidP="00535559">
      <w:pPr>
        <w:spacing w:line="276" w:lineRule="auto"/>
        <w:jc w:val="both"/>
        <w:rPr>
          <w:rFonts w:eastAsia="Malgun Gothic"/>
          <w:lang w:eastAsia="ko-KR"/>
        </w:rPr>
      </w:pPr>
      <w:r w:rsidRPr="00AF0C19">
        <w:rPr>
          <w:rFonts w:eastAsia="Malgun Gothic"/>
          <w:lang w:eastAsia="ko-KR"/>
        </w:rPr>
        <w:t xml:space="preserve">The detail of this plans available at the link: </w:t>
      </w:r>
      <w:hyperlink r:id="rId11" w:history="1">
        <w:r w:rsidRPr="00AF0C19">
          <w:rPr>
            <w:rStyle w:val="Hyperlink"/>
            <w:rFonts w:eastAsia="Malgun Gothic"/>
            <w:lang w:eastAsia="ko-KR"/>
          </w:rPr>
          <w:t>https://www.ofcom.org.uk/consultations-and-statements/category-1/mobile-data-strategy</w:t>
        </w:r>
      </w:hyperlink>
    </w:p>
    <w:p w14:paraId="0E8AFC14" w14:textId="77777777" w:rsidR="00535559" w:rsidRDefault="00535559" w:rsidP="00535559">
      <w:pPr>
        <w:spacing w:line="360" w:lineRule="auto"/>
        <w:jc w:val="both"/>
        <w:rPr>
          <w:rFonts w:eastAsia="Malgun Gothic"/>
          <w:lang w:eastAsia="ko-KR"/>
        </w:rPr>
      </w:pPr>
    </w:p>
    <w:p w14:paraId="04F53DFF" w14:textId="77777777" w:rsidR="00535559" w:rsidRDefault="00535559" w:rsidP="00535559">
      <w:pPr>
        <w:spacing w:line="360" w:lineRule="auto"/>
        <w:jc w:val="both"/>
        <w:rPr>
          <w:rFonts w:eastAsia="Malgun Gothic"/>
          <w:lang w:eastAsia="ko-KR"/>
        </w:rPr>
      </w:pPr>
    </w:p>
    <w:p w14:paraId="4F5811FD" w14:textId="6E56C85D" w:rsidR="00535559" w:rsidRPr="00675E9D" w:rsidRDefault="00535559" w:rsidP="00675E9D">
      <w:pPr>
        <w:pStyle w:val="Heading1"/>
        <w:rPr>
          <w:rFonts w:ascii="Times New Roman" w:hAnsi="Times New Roman" w:cs="Times New Roman"/>
          <w:b/>
          <w:color w:val="auto"/>
          <w:sz w:val="24"/>
          <w:szCs w:val="24"/>
          <w:lang w:eastAsia="ko-KR"/>
        </w:rPr>
      </w:pPr>
      <w:bookmarkStart w:id="41" w:name="_Toc532128819"/>
      <w:bookmarkStart w:id="42" w:name="_Toc532128945"/>
      <w:r w:rsidRPr="00675E9D">
        <w:rPr>
          <w:rFonts w:ascii="Times New Roman" w:hAnsi="Times New Roman" w:cs="Times New Roman"/>
          <w:b/>
          <w:color w:val="auto"/>
          <w:sz w:val="24"/>
          <w:szCs w:val="24"/>
          <w:lang w:eastAsia="ko-KR"/>
        </w:rPr>
        <w:lastRenderedPageBreak/>
        <w:t xml:space="preserve">4. Analysis and Recommendation </w:t>
      </w:r>
      <w:r w:rsidR="00675E9D" w:rsidRPr="00675E9D">
        <w:rPr>
          <w:rFonts w:ascii="Times New Roman" w:hAnsi="Times New Roman" w:cs="Times New Roman"/>
          <w:b/>
          <w:color w:val="auto"/>
          <w:sz w:val="24"/>
          <w:szCs w:val="24"/>
          <w:lang w:eastAsia="ko-KR"/>
        </w:rPr>
        <w:t>on Developing Spectrum Roadmap</w:t>
      </w:r>
      <w:bookmarkEnd w:id="41"/>
      <w:bookmarkEnd w:id="42"/>
    </w:p>
    <w:p w14:paraId="00B6F327" w14:textId="77777777" w:rsidR="00535559" w:rsidRDefault="00535559" w:rsidP="00535559">
      <w:pPr>
        <w:spacing w:line="360" w:lineRule="auto"/>
        <w:rPr>
          <w:lang w:eastAsia="ko-KR"/>
        </w:rPr>
      </w:pPr>
    </w:p>
    <w:p w14:paraId="059AC34A" w14:textId="77777777" w:rsidR="00535559" w:rsidRDefault="00535559" w:rsidP="00535559">
      <w:pPr>
        <w:spacing w:line="276" w:lineRule="auto"/>
        <w:jc w:val="both"/>
        <w:rPr>
          <w:lang w:eastAsia="ko-KR"/>
        </w:rPr>
      </w:pPr>
      <w:r w:rsidRPr="00E6423D">
        <w:rPr>
          <w:lang w:eastAsia="ko-KR"/>
        </w:rPr>
        <w:t xml:space="preserve">After analyzing the </w:t>
      </w:r>
      <w:r>
        <w:rPr>
          <w:lang w:eastAsia="ko-KR"/>
        </w:rPr>
        <w:t>replies on questionnaire from Bangladesh, Bhutan, India, I. R. of Iran and Sri Lanka</w:t>
      </w:r>
      <w:r w:rsidRPr="00E6423D">
        <w:rPr>
          <w:lang w:eastAsia="ko-KR"/>
        </w:rPr>
        <w:t xml:space="preserve">, it is clear that </w:t>
      </w:r>
      <w:r>
        <w:rPr>
          <w:lang w:eastAsia="ko-KR"/>
        </w:rPr>
        <w:t xml:space="preserve">maximum </w:t>
      </w:r>
      <w:r w:rsidRPr="00E6423D">
        <w:rPr>
          <w:lang w:eastAsia="ko-KR"/>
        </w:rPr>
        <w:t>countries do not have their own</w:t>
      </w:r>
      <w:r>
        <w:rPr>
          <w:lang w:eastAsia="ko-KR"/>
        </w:rPr>
        <w:t>/individual</w:t>
      </w:r>
      <w:r w:rsidRPr="00E6423D">
        <w:rPr>
          <w:lang w:eastAsia="ko-KR"/>
        </w:rPr>
        <w:t xml:space="preserve"> spectrum roadmap to meet future need.</w:t>
      </w:r>
      <w:r>
        <w:rPr>
          <w:lang w:eastAsia="ko-KR"/>
        </w:rPr>
        <w:t xml:space="preserve"> Among the SATRC countries, I.R of Iran has their roadmap on spectrum release for mobile broadband. Though the spectrum release is market driven in maximum countries throughout the world, every regulator must have a roadmap of spectrum release for clear understanding on the investment and sector growth. To keep pace with the global trend and national requirement, the forecast on mobile broadband growth is very important. To introduce a new technology, a spectrum band may need to be re-farmed, re assigned. To do such, the allocation and pricing of the band, industry </w:t>
      </w:r>
      <w:proofErr w:type="spellStart"/>
      <w:r>
        <w:rPr>
          <w:lang w:eastAsia="ko-KR"/>
        </w:rPr>
        <w:t>feed back</w:t>
      </w:r>
      <w:proofErr w:type="spellEnd"/>
      <w:r>
        <w:rPr>
          <w:lang w:eastAsia="ko-KR"/>
        </w:rPr>
        <w:t xml:space="preserve"> and best practices of the world is required. After completion of these, regulatory framework for introducing that technology needs to be developed. The harmonization of the band to avoid harmful interference plays an important role prior to release that band. </w:t>
      </w:r>
    </w:p>
    <w:p w14:paraId="1D429021" w14:textId="4EA2A1AE" w:rsidR="00535559" w:rsidRDefault="00535559" w:rsidP="00535559">
      <w:pPr>
        <w:spacing w:line="276" w:lineRule="auto"/>
        <w:jc w:val="both"/>
        <w:rPr>
          <w:lang w:eastAsia="ko-KR"/>
        </w:rPr>
      </w:pPr>
      <w:r>
        <w:rPr>
          <w:lang w:eastAsia="ko-KR"/>
        </w:rPr>
        <w:t>Depending upon the global trend and the replies from the questionnaires as circulated, it is found that the common IMT bands like 1800 MHz, 2100 MHz are not fully utilized in all SATRC countries yet. To provide good quality of service and to introduce the new technologies in future mobile broadband, spectrum bands may be prioritized as below:</w:t>
      </w:r>
    </w:p>
    <w:p w14:paraId="50217896" w14:textId="77777777" w:rsidR="00392377" w:rsidRDefault="00392377" w:rsidP="00535559">
      <w:pPr>
        <w:spacing w:line="276" w:lineRule="auto"/>
        <w:jc w:val="both"/>
        <w:rPr>
          <w:lang w:eastAsia="ko-KR"/>
        </w:rPr>
      </w:pPr>
    </w:p>
    <w:tbl>
      <w:tblPr>
        <w:tblW w:w="0" w:type="auto"/>
        <w:tblInd w:w="1440" w:type="dxa"/>
        <w:tblBorders>
          <w:top w:val="nil"/>
          <w:left w:val="nil"/>
          <w:bottom w:val="nil"/>
          <w:right w:val="nil"/>
        </w:tblBorders>
        <w:tblLayout w:type="fixed"/>
        <w:tblLook w:val="0000" w:firstRow="0" w:lastRow="0" w:firstColumn="0" w:lastColumn="0" w:noHBand="0" w:noVBand="0"/>
      </w:tblPr>
      <w:tblGrid>
        <w:gridCol w:w="2898"/>
        <w:gridCol w:w="3600"/>
      </w:tblGrid>
      <w:tr w:rsidR="00535559" w:rsidRPr="00F569A0" w14:paraId="6721C162" w14:textId="77777777" w:rsidTr="00392377">
        <w:trPr>
          <w:trHeight w:val="254"/>
        </w:trPr>
        <w:tc>
          <w:tcPr>
            <w:tcW w:w="2898" w:type="dxa"/>
          </w:tcPr>
          <w:p w14:paraId="1DA00157" w14:textId="77777777" w:rsidR="00535559" w:rsidRPr="00F569A0" w:rsidRDefault="00535559" w:rsidP="00AE0C92">
            <w:pPr>
              <w:autoSpaceDE w:val="0"/>
              <w:autoSpaceDN w:val="0"/>
              <w:adjustRightInd w:val="0"/>
              <w:spacing w:line="276" w:lineRule="auto"/>
              <w:jc w:val="center"/>
              <w:rPr>
                <w:rFonts w:eastAsiaTheme="minorHAnsi"/>
                <w:color w:val="000000"/>
              </w:rPr>
            </w:pPr>
            <w:r w:rsidRPr="00F569A0">
              <w:rPr>
                <w:rFonts w:eastAsiaTheme="minorHAnsi"/>
                <w:bCs/>
                <w:color w:val="000000"/>
              </w:rPr>
              <w:t>Priority for further work</w:t>
            </w:r>
          </w:p>
        </w:tc>
        <w:tc>
          <w:tcPr>
            <w:tcW w:w="3600" w:type="dxa"/>
          </w:tcPr>
          <w:p w14:paraId="1E601567" w14:textId="77777777" w:rsidR="00535559" w:rsidRPr="00F569A0" w:rsidRDefault="00535559" w:rsidP="00AE0C92">
            <w:pPr>
              <w:autoSpaceDE w:val="0"/>
              <w:autoSpaceDN w:val="0"/>
              <w:adjustRightInd w:val="0"/>
              <w:spacing w:line="276" w:lineRule="auto"/>
              <w:jc w:val="center"/>
              <w:rPr>
                <w:rFonts w:eastAsiaTheme="minorHAnsi"/>
                <w:color w:val="000000"/>
              </w:rPr>
            </w:pPr>
            <w:r>
              <w:rPr>
                <w:rFonts w:eastAsiaTheme="minorHAnsi"/>
                <w:bCs/>
                <w:color w:val="000000"/>
              </w:rPr>
              <w:t>Spectrum Band</w:t>
            </w:r>
          </w:p>
        </w:tc>
      </w:tr>
      <w:tr w:rsidR="00535559" w:rsidRPr="00F569A0" w14:paraId="6F9B3AEC" w14:textId="77777777" w:rsidTr="00392377">
        <w:trPr>
          <w:trHeight w:val="511"/>
        </w:trPr>
        <w:tc>
          <w:tcPr>
            <w:tcW w:w="2898" w:type="dxa"/>
          </w:tcPr>
          <w:p w14:paraId="1504AE33" w14:textId="77777777" w:rsidR="00535559" w:rsidRPr="00761EFA" w:rsidRDefault="00535559" w:rsidP="00AE0C92">
            <w:pPr>
              <w:autoSpaceDE w:val="0"/>
              <w:autoSpaceDN w:val="0"/>
              <w:adjustRightInd w:val="0"/>
              <w:spacing w:line="276" w:lineRule="auto"/>
              <w:jc w:val="center"/>
              <w:rPr>
                <w:rFonts w:eastAsiaTheme="minorHAnsi"/>
                <w:color w:val="000000"/>
              </w:rPr>
            </w:pPr>
          </w:p>
          <w:p w14:paraId="6F9B915F" w14:textId="77777777" w:rsidR="00535559" w:rsidRPr="00F569A0" w:rsidRDefault="00535559" w:rsidP="00AE0C92">
            <w:pPr>
              <w:autoSpaceDE w:val="0"/>
              <w:autoSpaceDN w:val="0"/>
              <w:adjustRightInd w:val="0"/>
              <w:spacing w:line="276" w:lineRule="auto"/>
              <w:jc w:val="center"/>
              <w:rPr>
                <w:rFonts w:eastAsiaTheme="minorHAnsi"/>
                <w:color w:val="000000"/>
              </w:rPr>
            </w:pPr>
            <w:r>
              <w:rPr>
                <w:rFonts w:eastAsiaTheme="minorHAnsi"/>
                <w:color w:val="000000"/>
              </w:rPr>
              <w:t>Near Future</w:t>
            </w:r>
          </w:p>
        </w:tc>
        <w:tc>
          <w:tcPr>
            <w:tcW w:w="3600" w:type="dxa"/>
          </w:tcPr>
          <w:p w14:paraId="3E24E837" w14:textId="77777777" w:rsidR="00535559" w:rsidRDefault="00535559" w:rsidP="00AE0C92">
            <w:pPr>
              <w:autoSpaceDE w:val="0"/>
              <w:autoSpaceDN w:val="0"/>
              <w:adjustRightInd w:val="0"/>
              <w:spacing w:line="276" w:lineRule="auto"/>
              <w:rPr>
                <w:rFonts w:eastAsiaTheme="minorHAnsi"/>
                <w:color w:val="000000"/>
              </w:rPr>
            </w:pPr>
            <w:r w:rsidRPr="00F569A0">
              <w:rPr>
                <w:rFonts w:eastAsiaTheme="minorHAnsi"/>
                <w:color w:val="000000"/>
              </w:rPr>
              <w:t xml:space="preserve">• 700 MHz </w:t>
            </w:r>
          </w:p>
          <w:p w14:paraId="28ED65D1" w14:textId="77777777" w:rsidR="00535559" w:rsidRDefault="00535559" w:rsidP="00AE0C92">
            <w:pPr>
              <w:autoSpaceDE w:val="0"/>
              <w:autoSpaceDN w:val="0"/>
              <w:adjustRightInd w:val="0"/>
              <w:spacing w:line="276" w:lineRule="auto"/>
              <w:rPr>
                <w:rFonts w:eastAsiaTheme="minorHAnsi"/>
                <w:color w:val="000000"/>
              </w:rPr>
            </w:pPr>
            <w:r w:rsidRPr="00F569A0">
              <w:rPr>
                <w:rFonts w:eastAsiaTheme="minorHAnsi"/>
                <w:color w:val="000000"/>
              </w:rPr>
              <w:t xml:space="preserve">• </w:t>
            </w:r>
            <w:r>
              <w:rPr>
                <w:rFonts w:eastAsiaTheme="minorHAnsi"/>
                <w:color w:val="000000"/>
              </w:rPr>
              <w:t>2.6</w:t>
            </w:r>
            <w:r w:rsidRPr="00F569A0">
              <w:rPr>
                <w:rFonts w:eastAsiaTheme="minorHAnsi"/>
                <w:color w:val="000000"/>
              </w:rPr>
              <w:t xml:space="preserve"> </w:t>
            </w:r>
            <w:r>
              <w:rPr>
                <w:rFonts w:eastAsiaTheme="minorHAnsi"/>
                <w:color w:val="000000"/>
              </w:rPr>
              <w:t>G</w:t>
            </w:r>
            <w:r w:rsidRPr="00F569A0">
              <w:rPr>
                <w:rFonts w:eastAsiaTheme="minorHAnsi"/>
                <w:color w:val="000000"/>
              </w:rPr>
              <w:t xml:space="preserve">Hz </w:t>
            </w:r>
          </w:p>
          <w:p w14:paraId="3667C29E" w14:textId="77777777" w:rsidR="00535559" w:rsidRDefault="00535559" w:rsidP="00AE0C92">
            <w:pPr>
              <w:autoSpaceDE w:val="0"/>
              <w:autoSpaceDN w:val="0"/>
              <w:adjustRightInd w:val="0"/>
              <w:spacing w:line="276" w:lineRule="auto"/>
              <w:rPr>
                <w:rFonts w:eastAsiaTheme="minorHAnsi"/>
                <w:color w:val="000000"/>
              </w:rPr>
            </w:pPr>
            <w:r w:rsidRPr="00F569A0">
              <w:rPr>
                <w:rFonts w:eastAsiaTheme="minorHAnsi"/>
                <w:color w:val="000000"/>
              </w:rPr>
              <w:t xml:space="preserve">• 3.4 GHz </w:t>
            </w:r>
          </w:p>
          <w:p w14:paraId="45A1EA02" w14:textId="77777777" w:rsidR="00535559" w:rsidRPr="00F569A0" w:rsidRDefault="00535559" w:rsidP="00AE0C92">
            <w:pPr>
              <w:autoSpaceDE w:val="0"/>
              <w:autoSpaceDN w:val="0"/>
              <w:adjustRightInd w:val="0"/>
              <w:spacing w:line="276" w:lineRule="auto"/>
              <w:rPr>
                <w:rFonts w:eastAsiaTheme="minorHAnsi"/>
                <w:color w:val="000000"/>
              </w:rPr>
            </w:pPr>
            <w:r w:rsidRPr="00F569A0">
              <w:rPr>
                <w:rFonts w:eastAsiaTheme="minorHAnsi"/>
                <w:color w:val="000000"/>
              </w:rPr>
              <w:t xml:space="preserve">• </w:t>
            </w:r>
            <w:proofErr w:type="spellStart"/>
            <w:r w:rsidRPr="00F569A0">
              <w:rPr>
                <w:rFonts w:eastAsiaTheme="minorHAnsi"/>
                <w:bCs/>
                <w:color w:val="000000"/>
              </w:rPr>
              <w:t>mmWave</w:t>
            </w:r>
            <w:proofErr w:type="spellEnd"/>
            <w:r w:rsidRPr="00F569A0">
              <w:rPr>
                <w:rFonts w:eastAsiaTheme="minorHAnsi"/>
                <w:bCs/>
                <w:color w:val="000000"/>
              </w:rPr>
              <w:t xml:space="preserve"> bands </w:t>
            </w:r>
          </w:p>
        </w:tc>
      </w:tr>
      <w:tr w:rsidR="00535559" w:rsidRPr="00F569A0" w14:paraId="64274B5F" w14:textId="77777777" w:rsidTr="00392377">
        <w:trPr>
          <w:trHeight w:val="813"/>
        </w:trPr>
        <w:tc>
          <w:tcPr>
            <w:tcW w:w="2898" w:type="dxa"/>
          </w:tcPr>
          <w:p w14:paraId="313054AA" w14:textId="77777777" w:rsidR="00535559" w:rsidRPr="00F569A0" w:rsidRDefault="00535559" w:rsidP="00AE0C92">
            <w:pPr>
              <w:autoSpaceDE w:val="0"/>
              <w:autoSpaceDN w:val="0"/>
              <w:adjustRightInd w:val="0"/>
              <w:spacing w:line="276" w:lineRule="auto"/>
              <w:jc w:val="center"/>
              <w:rPr>
                <w:rFonts w:eastAsiaTheme="minorHAnsi"/>
                <w:color w:val="000000"/>
              </w:rPr>
            </w:pPr>
            <w:r>
              <w:rPr>
                <w:rFonts w:eastAsiaTheme="minorHAnsi"/>
                <w:bCs/>
                <w:color w:val="000000"/>
              </w:rPr>
              <w:t>Future</w:t>
            </w:r>
          </w:p>
        </w:tc>
        <w:tc>
          <w:tcPr>
            <w:tcW w:w="3600" w:type="dxa"/>
          </w:tcPr>
          <w:p w14:paraId="262CCB03" w14:textId="77777777" w:rsidR="00535559" w:rsidRDefault="00535559" w:rsidP="00AE0C92">
            <w:pPr>
              <w:autoSpaceDE w:val="0"/>
              <w:autoSpaceDN w:val="0"/>
              <w:adjustRightInd w:val="0"/>
              <w:spacing w:line="276" w:lineRule="auto"/>
              <w:rPr>
                <w:rFonts w:eastAsiaTheme="minorHAnsi"/>
                <w:color w:val="000000"/>
              </w:rPr>
            </w:pPr>
            <w:r w:rsidRPr="00F569A0">
              <w:rPr>
                <w:rFonts w:eastAsiaTheme="minorHAnsi"/>
                <w:color w:val="000000"/>
              </w:rPr>
              <w:t xml:space="preserve">• </w:t>
            </w:r>
            <w:r>
              <w:rPr>
                <w:rFonts w:eastAsiaTheme="minorHAnsi"/>
                <w:color w:val="000000"/>
              </w:rPr>
              <w:t>617</w:t>
            </w:r>
            <w:r w:rsidRPr="00F569A0">
              <w:rPr>
                <w:rFonts w:eastAsiaTheme="minorHAnsi"/>
                <w:color w:val="000000"/>
              </w:rPr>
              <w:t>-69</w:t>
            </w:r>
            <w:r>
              <w:rPr>
                <w:rFonts w:eastAsiaTheme="minorHAnsi"/>
                <w:color w:val="000000"/>
              </w:rPr>
              <w:t>8</w:t>
            </w:r>
            <w:r w:rsidRPr="00F569A0">
              <w:rPr>
                <w:rFonts w:eastAsiaTheme="minorHAnsi"/>
                <w:color w:val="000000"/>
              </w:rPr>
              <w:t xml:space="preserve"> MHz (very long term) </w:t>
            </w:r>
          </w:p>
          <w:p w14:paraId="1F74EFFC" w14:textId="77777777" w:rsidR="00535559" w:rsidRPr="00F569A0" w:rsidRDefault="00535559" w:rsidP="00AE0C92">
            <w:pPr>
              <w:autoSpaceDE w:val="0"/>
              <w:autoSpaceDN w:val="0"/>
              <w:adjustRightInd w:val="0"/>
              <w:spacing w:line="276" w:lineRule="auto"/>
              <w:rPr>
                <w:rFonts w:eastAsiaTheme="minorHAnsi"/>
                <w:color w:val="000000"/>
              </w:rPr>
            </w:pPr>
            <w:r w:rsidRPr="00F569A0">
              <w:rPr>
                <w:rFonts w:eastAsiaTheme="minorHAnsi"/>
                <w:color w:val="000000"/>
              </w:rPr>
              <w:t xml:space="preserve">• </w:t>
            </w:r>
            <w:r>
              <w:rPr>
                <w:rFonts w:eastAsiaTheme="minorHAnsi"/>
                <w:color w:val="000000"/>
              </w:rPr>
              <w:t>617</w:t>
            </w:r>
            <w:r w:rsidRPr="00F569A0">
              <w:rPr>
                <w:rFonts w:eastAsiaTheme="minorHAnsi"/>
                <w:color w:val="000000"/>
              </w:rPr>
              <w:t>-69</w:t>
            </w:r>
            <w:r>
              <w:rPr>
                <w:rFonts w:eastAsiaTheme="minorHAnsi"/>
                <w:color w:val="000000"/>
              </w:rPr>
              <w:t>8</w:t>
            </w:r>
            <w:r w:rsidRPr="00F569A0">
              <w:rPr>
                <w:rFonts w:eastAsiaTheme="minorHAnsi"/>
                <w:color w:val="000000"/>
              </w:rPr>
              <w:t xml:space="preserve"> MHz</w:t>
            </w:r>
          </w:p>
        </w:tc>
      </w:tr>
    </w:tbl>
    <w:p w14:paraId="52835786" w14:textId="77777777" w:rsidR="00535559" w:rsidRPr="00E6423D" w:rsidRDefault="00535559" w:rsidP="00535559">
      <w:pPr>
        <w:spacing w:line="360" w:lineRule="auto"/>
        <w:jc w:val="both"/>
        <w:rPr>
          <w:lang w:eastAsia="ko-KR"/>
        </w:rPr>
      </w:pPr>
    </w:p>
    <w:p w14:paraId="0316015F" w14:textId="2BD08FFA" w:rsidR="00535559" w:rsidRPr="00675E9D" w:rsidRDefault="00535559" w:rsidP="00675E9D">
      <w:pPr>
        <w:pStyle w:val="Heading1"/>
        <w:rPr>
          <w:rFonts w:ascii="Times New Roman" w:hAnsi="Times New Roman" w:cs="Times New Roman"/>
          <w:b/>
          <w:color w:val="auto"/>
          <w:sz w:val="24"/>
          <w:szCs w:val="24"/>
          <w:lang w:eastAsia="ko-KR"/>
        </w:rPr>
      </w:pPr>
      <w:bookmarkStart w:id="43" w:name="_Toc532128820"/>
      <w:bookmarkStart w:id="44" w:name="_Toc532128946"/>
      <w:r w:rsidRPr="00675E9D">
        <w:rPr>
          <w:rFonts w:ascii="Times New Roman" w:hAnsi="Times New Roman" w:cs="Times New Roman"/>
          <w:b/>
          <w:color w:val="auto"/>
          <w:sz w:val="24"/>
          <w:szCs w:val="24"/>
          <w:lang w:eastAsia="ko-KR"/>
        </w:rPr>
        <w:t xml:space="preserve">5. </w:t>
      </w:r>
      <w:r w:rsidR="00675E9D" w:rsidRPr="00675E9D">
        <w:rPr>
          <w:rFonts w:ascii="Times New Roman" w:hAnsi="Times New Roman" w:cs="Times New Roman"/>
          <w:b/>
          <w:color w:val="auto"/>
          <w:sz w:val="24"/>
          <w:szCs w:val="24"/>
          <w:lang w:eastAsia="ko-KR"/>
        </w:rPr>
        <w:t>Conclusion</w:t>
      </w:r>
      <w:bookmarkEnd w:id="43"/>
      <w:bookmarkEnd w:id="44"/>
    </w:p>
    <w:p w14:paraId="7E3F4C3C" w14:textId="77777777" w:rsidR="00535559" w:rsidRPr="00115572" w:rsidRDefault="00535559" w:rsidP="00535559">
      <w:pPr>
        <w:spacing w:line="360" w:lineRule="auto"/>
        <w:rPr>
          <w:b/>
          <w:lang w:eastAsia="ko-KR"/>
        </w:rPr>
      </w:pPr>
    </w:p>
    <w:p w14:paraId="5D5C98E0" w14:textId="77777777" w:rsidR="00535559" w:rsidRPr="00115572" w:rsidRDefault="00535559" w:rsidP="00535559">
      <w:pPr>
        <w:autoSpaceDE w:val="0"/>
        <w:autoSpaceDN w:val="0"/>
        <w:adjustRightInd w:val="0"/>
        <w:spacing w:line="276" w:lineRule="auto"/>
        <w:jc w:val="both"/>
        <w:rPr>
          <w:rFonts w:eastAsia="Batang"/>
          <w:lang w:val="en-GB" w:eastAsia="ko-KR"/>
        </w:rPr>
      </w:pPr>
      <w:r w:rsidRPr="00115572">
        <w:rPr>
          <w:rFonts w:eastAsia="Batang"/>
        </w:rPr>
        <w:t>In this report, we introduced the parameters to develop a spectrum roadmap specially for mobile broadband services.</w:t>
      </w:r>
      <w:r w:rsidRPr="00115572">
        <w:rPr>
          <w:rFonts w:eastAsiaTheme="minorHAnsi"/>
        </w:rPr>
        <w:t xml:space="preserve"> The rapid growth in telecommunication sector is mainly due to the fastest development on mobile broadband service. We are now more connected than ever before and new forms of connectivity are rapidly emerging and changing our living pattern. It gives us the challenge to plan effectively and implementing in timely manner. Regulators have to accommodate new innovations and the increased demand for spectrum use while, at the same time, protect existing investments and maintain a sustainable wireless ecosystem. To achieve this, Government and industry must work in collaboration. Investors must have a clear vision on their upcoming </w:t>
      </w:r>
      <w:r w:rsidRPr="00115572">
        <w:rPr>
          <w:rFonts w:eastAsiaTheme="minorHAnsi"/>
        </w:rPr>
        <w:lastRenderedPageBreak/>
        <w:t xml:space="preserve">investment for mobile broadband, hence Regulators must have a spectrum roadmap compatible with the global trend. </w:t>
      </w:r>
      <w:r>
        <w:rPr>
          <w:rFonts w:eastAsiaTheme="minorHAnsi"/>
        </w:rPr>
        <w:t>The</w:t>
      </w:r>
      <w:r w:rsidRPr="00115572">
        <w:rPr>
          <w:rFonts w:eastAsia="Batang"/>
          <w:lang w:val="en-GB" w:eastAsia="ko-KR"/>
        </w:rPr>
        <w:t xml:space="preserve"> </w:t>
      </w:r>
      <w:r>
        <w:rPr>
          <w:rFonts w:eastAsia="Batang"/>
          <w:lang w:val="en-GB" w:eastAsia="ko-KR"/>
        </w:rPr>
        <w:t>methodology and analysis</w:t>
      </w:r>
      <w:r w:rsidRPr="00115572">
        <w:rPr>
          <w:rFonts w:eastAsia="Batang"/>
          <w:lang w:val="en-GB" w:eastAsia="ko-KR"/>
        </w:rPr>
        <w:t xml:space="preserve"> may help the regulators in SATRC countries to develop their national spectrum roadmap for the mobile broadband service-the most discussed service. </w:t>
      </w:r>
    </w:p>
    <w:p w14:paraId="4461BCB1" w14:textId="77777777" w:rsidR="00535559" w:rsidRDefault="00535559" w:rsidP="00535559">
      <w:pPr>
        <w:autoSpaceDE w:val="0"/>
        <w:autoSpaceDN w:val="0"/>
        <w:adjustRightInd w:val="0"/>
        <w:spacing w:line="360" w:lineRule="auto"/>
        <w:jc w:val="both"/>
        <w:rPr>
          <w:rFonts w:eastAsiaTheme="minorHAnsi"/>
        </w:rPr>
      </w:pPr>
    </w:p>
    <w:p w14:paraId="74909AAE" w14:textId="77777777" w:rsidR="00535559" w:rsidRDefault="00535559" w:rsidP="00535559">
      <w:pPr>
        <w:autoSpaceDE w:val="0"/>
        <w:autoSpaceDN w:val="0"/>
        <w:adjustRightInd w:val="0"/>
        <w:spacing w:line="360" w:lineRule="auto"/>
        <w:jc w:val="both"/>
        <w:rPr>
          <w:rFonts w:eastAsiaTheme="minorHAnsi"/>
        </w:rPr>
      </w:pPr>
    </w:p>
    <w:p w14:paraId="48672D56" w14:textId="77777777" w:rsidR="00535559" w:rsidRPr="00AD0600" w:rsidRDefault="00535559" w:rsidP="00AD0600">
      <w:pPr>
        <w:pStyle w:val="Heading1"/>
        <w:rPr>
          <w:rFonts w:ascii="Times New Roman" w:eastAsiaTheme="minorHAnsi" w:hAnsi="Times New Roman" w:cs="Times New Roman"/>
          <w:b/>
          <w:sz w:val="24"/>
          <w:szCs w:val="24"/>
        </w:rPr>
      </w:pPr>
      <w:bookmarkStart w:id="45" w:name="_Toc532128821"/>
      <w:bookmarkStart w:id="46" w:name="_Toc532128947"/>
      <w:r w:rsidRPr="00AD0600">
        <w:rPr>
          <w:rFonts w:ascii="Times New Roman" w:eastAsiaTheme="minorHAnsi" w:hAnsi="Times New Roman" w:cs="Times New Roman"/>
          <w:b/>
          <w:color w:val="auto"/>
          <w:sz w:val="24"/>
          <w:szCs w:val="24"/>
        </w:rPr>
        <w:t>Appendix-1: Questionnaires</w:t>
      </w:r>
      <w:bookmarkEnd w:id="45"/>
      <w:bookmarkEnd w:id="46"/>
      <w:r w:rsidRPr="00AD0600">
        <w:rPr>
          <w:rFonts w:ascii="Times New Roman" w:eastAsiaTheme="minorHAnsi" w:hAnsi="Times New Roman" w:cs="Times New Roman"/>
          <w:b/>
          <w:color w:val="auto"/>
          <w:sz w:val="24"/>
          <w:szCs w:val="24"/>
        </w:rPr>
        <w:t xml:space="preserve"> </w:t>
      </w:r>
    </w:p>
    <w:p w14:paraId="39430B24" w14:textId="77777777" w:rsidR="00535559" w:rsidRDefault="00535559" w:rsidP="00535559">
      <w:pPr>
        <w:ind w:right="47"/>
        <w:rPr>
          <w:rFonts w:eastAsia="Times New Roman"/>
          <w:b/>
          <w:bCs/>
          <w:spacing w:val="-3"/>
          <w:sz w:val="26"/>
          <w:szCs w:val="26"/>
        </w:rPr>
      </w:pPr>
    </w:p>
    <w:p w14:paraId="5C0F482E" w14:textId="77777777" w:rsidR="00535559" w:rsidRPr="0069512C" w:rsidRDefault="00535559" w:rsidP="00535559">
      <w:pPr>
        <w:ind w:right="47"/>
        <w:rPr>
          <w:rFonts w:eastAsia="Times New Roman"/>
          <w:b/>
          <w:bCs/>
          <w:spacing w:val="-3"/>
          <w:sz w:val="26"/>
          <w:szCs w:val="26"/>
        </w:rPr>
      </w:pPr>
      <w:r w:rsidRPr="0069512C">
        <w:rPr>
          <w:rFonts w:eastAsia="Times New Roman"/>
          <w:b/>
          <w:bCs/>
          <w:spacing w:val="-3"/>
          <w:sz w:val="26"/>
          <w:szCs w:val="26"/>
        </w:rPr>
        <w:t xml:space="preserve">Objectives of Spectrum </w:t>
      </w:r>
      <w:r>
        <w:rPr>
          <w:rFonts w:eastAsia="Times New Roman"/>
          <w:b/>
          <w:bCs/>
          <w:spacing w:val="-3"/>
          <w:sz w:val="26"/>
          <w:szCs w:val="26"/>
        </w:rPr>
        <w:t>roadmap:</w:t>
      </w:r>
    </w:p>
    <w:p w14:paraId="51510053" w14:textId="77777777" w:rsidR="00535559" w:rsidRPr="00F33027" w:rsidRDefault="00535559" w:rsidP="00535559">
      <w:pPr>
        <w:ind w:right="47"/>
        <w:rPr>
          <w:rFonts w:eastAsia="Times New Roman"/>
          <w:b/>
          <w:bCs/>
          <w:spacing w:val="-3"/>
          <w:sz w:val="12"/>
          <w:szCs w:val="26"/>
        </w:rPr>
      </w:pPr>
    </w:p>
    <w:p w14:paraId="2B865468" w14:textId="77777777" w:rsidR="00535559" w:rsidRDefault="00535559" w:rsidP="00535559">
      <w:pPr>
        <w:ind w:right="47"/>
        <w:rPr>
          <w:rFonts w:eastAsia="Times New Roman"/>
          <w:spacing w:val="-3"/>
        </w:rPr>
      </w:pPr>
      <w:r w:rsidRPr="0069512C">
        <w:rPr>
          <w:rFonts w:eastAsia="Times New Roman"/>
          <w:spacing w:val="-3"/>
        </w:rPr>
        <w:t xml:space="preserve">The broad goals and objectives associated with spectrum </w:t>
      </w:r>
      <w:r>
        <w:rPr>
          <w:rFonts w:eastAsia="Times New Roman"/>
          <w:spacing w:val="-3"/>
        </w:rPr>
        <w:t>roadmap</w:t>
      </w:r>
      <w:r w:rsidRPr="0069512C">
        <w:rPr>
          <w:rFonts w:eastAsia="Times New Roman"/>
          <w:spacing w:val="-3"/>
        </w:rPr>
        <w:t xml:space="preserve"> are:</w:t>
      </w:r>
    </w:p>
    <w:p w14:paraId="5B60F4F8" w14:textId="77777777" w:rsidR="00535559" w:rsidRPr="00F33027" w:rsidRDefault="00535559" w:rsidP="00535559">
      <w:pPr>
        <w:ind w:right="47"/>
        <w:rPr>
          <w:rFonts w:eastAsia="Times New Roman"/>
          <w:spacing w:val="-3"/>
          <w:sz w:val="10"/>
        </w:rPr>
      </w:pPr>
    </w:p>
    <w:p w14:paraId="31A2AA1B" w14:textId="77777777" w:rsidR="00535559" w:rsidRPr="005548E1" w:rsidRDefault="00535559" w:rsidP="00535559">
      <w:pPr>
        <w:pStyle w:val="ListParagraph"/>
        <w:numPr>
          <w:ilvl w:val="0"/>
          <w:numId w:val="1"/>
        </w:numPr>
        <w:ind w:right="47"/>
        <w:contextualSpacing/>
        <w:rPr>
          <w:rFonts w:eastAsia="Times New Roman"/>
          <w:spacing w:val="-3"/>
        </w:rPr>
      </w:pPr>
      <w:proofErr w:type="spellStart"/>
      <w:r w:rsidRPr="005548E1">
        <w:rPr>
          <w:rFonts w:eastAsia="Times New Roman"/>
          <w:spacing w:val="-3"/>
        </w:rPr>
        <w:t>Enhanching</w:t>
      </w:r>
      <w:proofErr w:type="spellEnd"/>
      <w:r w:rsidRPr="005548E1">
        <w:rPr>
          <w:rFonts w:eastAsia="Times New Roman"/>
          <w:spacing w:val="-3"/>
        </w:rPr>
        <w:t xml:space="preserve"> the capacity of the mobile network</w:t>
      </w:r>
      <w:r>
        <w:rPr>
          <w:rFonts w:eastAsia="Times New Roman"/>
          <w:spacing w:val="-3"/>
        </w:rPr>
        <w:t>.</w:t>
      </w:r>
    </w:p>
    <w:p w14:paraId="4864A9BF" w14:textId="77777777" w:rsidR="00535559" w:rsidRDefault="00535559" w:rsidP="00535559">
      <w:pPr>
        <w:pStyle w:val="ListParagraph"/>
        <w:numPr>
          <w:ilvl w:val="0"/>
          <w:numId w:val="1"/>
        </w:numPr>
        <w:ind w:right="47"/>
        <w:contextualSpacing/>
        <w:rPr>
          <w:rFonts w:eastAsia="Times New Roman"/>
          <w:spacing w:val="-3"/>
        </w:rPr>
      </w:pPr>
      <w:r w:rsidRPr="005548E1">
        <w:rPr>
          <w:rFonts w:eastAsia="Times New Roman"/>
          <w:spacing w:val="-3"/>
        </w:rPr>
        <w:t>Maximizing the economic benefits from use of the spectrum resource.</w:t>
      </w:r>
    </w:p>
    <w:p w14:paraId="58D0D95B" w14:textId="77777777" w:rsidR="00535559" w:rsidRDefault="00535559" w:rsidP="00535559">
      <w:pPr>
        <w:pStyle w:val="ListParagraph"/>
        <w:numPr>
          <w:ilvl w:val="0"/>
          <w:numId w:val="1"/>
        </w:numPr>
        <w:ind w:right="47"/>
        <w:contextualSpacing/>
        <w:rPr>
          <w:rFonts w:eastAsia="Times New Roman"/>
          <w:spacing w:val="-3"/>
        </w:rPr>
      </w:pPr>
      <w:r w:rsidRPr="005548E1">
        <w:rPr>
          <w:rFonts w:eastAsia="Times New Roman"/>
          <w:spacing w:val="-3"/>
        </w:rPr>
        <w:t>Ensuring the users benefit from the use of the spectrum resource</w:t>
      </w:r>
      <w:r>
        <w:rPr>
          <w:rFonts w:eastAsia="Times New Roman"/>
          <w:spacing w:val="-3"/>
        </w:rPr>
        <w:t>.</w:t>
      </w:r>
      <w:r w:rsidRPr="005548E1">
        <w:rPr>
          <w:rFonts w:eastAsia="Times New Roman"/>
          <w:spacing w:val="-3"/>
        </w:rPr>
        <w:t xml:space="preserve"> </w:t>
      </w:r>
    </w:p>
    <w:p w14:paraId="5F2F5126" w14:textId="77777777" w:rsidR="00535559" w:rsidRDefault="00535559" w:rsidP="00535559">
      <w:pPr>
        <w:pStyle w:val="ListParagraph"/>
        <w:numPr>
          <w:ilvl w:val="0"/>
          <w:numId w:val="1"/>
        </w:numPr>
        <w:ind w:right="47"/>
        <w:contextualSpacing/>
        <w:rPr>
          <w:rFonts w:eastAsia="Times New Roman"/>
          <w:spacing w:val="-3"/>
        </w:rPr>
      </w:pPr>
      <w:r>
        <w:rPr>
          <w:rFonts w:eastAsia="Times New Roman"/>
          <w:spacing w:val="-3"/>
        </w:rPr>
        <w:t>Estimating spectrum demand and supply.</w:t>
      </w:r>
    </w:p>
    <w:p w14:paraId="3548F785" w14:textId="77777777" w:rsidR="00535559" w:rsidRDefault="00535559" w:rsidP="00535559">
      <w:pPr>
        <w:pStyle w:val="ListParagraph"/>
        <w:numPr>
          <w:ilvl w:val="0"/>
          <w:numId w:val="1"/>
        </w:numPr>
        <w:ind w:right="47"/>
        <w:contextualSpacing/>
        <w:rPr>
          <w:rFonts w:eastAsia="Times New Roman"/>
          <w:spacing w:val="-3"/>
        </w:rPr>
      </w:pPr>
      <w:r>
        <w:rPr>
          <w:rFonts w:eastAsia="Times New Roman"/>
          <w:spacing w:val="-3"/>
        </w:rPr>
        <w:t>Computing the relation between spectrum and base station sites.</w:t>
      </w:r>
    </w:p>
    <w:p w14:paraId="4B4C858E" w14:textId="77777777" w:rsidR="00535559" w:rsidRPr="00F33027" w:rsidRDefault="00535559" w:rsidP="00535559">
      <w:pPr>
        <w:pStyle w:val="ListParagraph"/>
        <w:ind w:left="800" w:right="47"/>
        <w:rPr>
          <w:rFonts w:eastAsia="Times New Roman"/>
          <w:spacing w:val="-3"/>
          <w:sz w:val="12"/>
        </w:rPr>
      </w:pPr>
    </w:p>
    <w:p w14:paraId="51AC6310" w14:textId="77777777" w:rsidR="00535559" w:rsidRPr="005548E1" w:rsidRDefault="00535559" w:rsidP="00535559">
      <w:pPr>
        <w:spacing w:line="264" w:lineRule="auto"/>
        <w:rPr>
          <w:rFonts w:eastAsia="Malgun Gothic"/>
          <w:kern w:val="2"/>
          <w:lang w:eastAsia="ko-KR"/>
        </w:rPr>
      </w:pPr>
      <w:r>
        <w:rPr>
          <w:rFonts w:eastAsia="Malgun Gothic"/>
          <w:noProof/>
          <w:lang w:eastAsia="ko-KR"/>
        </w:rPr>
        <w:t xml:space="preserve">In order to make the spectrum roadmap, the following informations to be needed from the SATRC member countries.  </w:t>
      </w:r>
    </w:p>
    <w:p w14:paraId="5D614BC8" w14:textId="77777777" w:rsidR="00535559" w:rsidRPr="000D29B0" w:rsidRDefault="00535559" w:rsidP="00535559">
      <w:pPr>
        <w:rPr>
          <w:lang w:eastAsia="ko-KR"/>
        </w:rPr>
      </w:pPr>
    </w:p>
    <w:p w14:paraId="78A511DE" w14:textId="77777777" w:rsidR="00535559" w:rsidRDefault="00535559" w:rsidP="00535559">
      <w:pPr>
        <w:ind w:left="360" w:right="720" w:hangingChars="150" w:hanging="360"/>
      </w:pPr>
      <w:r>
        <w:t>Q1. Please provide the data of the mobile network operation (from the beginning to date or as old as you find record) as follows:</w:t>
      </w:r>
    </w:p>
    <w:tbl>
      <w:tblPr>
        <w:tblStyle w:val="TableGrid"/>
        <w:tblW w:w="0" w:type="auto"/>
        <w:tblLayout w:type="fixed"/>
        <w:tblLook w:val="04A0" w:firstRow="1" w:lastRow="0" w:firstColumn="1" w:lastColumn="0" w:noHBand="0" w:noVBand="1"/>
      </w:tblPr>
      <w:tblGrid>
        <w:gridCol w:w="1963"/>
        <w:gridCol w:w="1434"/>
        <w:gridCol w:w="2127"/>
        <w:gridCol w:w="1701"/>
        <w:gridCol w:w="2125"/>
      </w:tblGrid>
      <w:tr w:rsidR="00535559" w:rsidRPr="008C25B9" w14:paraId="0CB92897" w14:textId="77777777" w:rsidTr="00AE0C92">
        <w:tc>
          <w:tcPr>
            <w:tcW w:w="1963" w:type="dxa"/>
          </w:tcPr>
          <w:p w14:paraId="6FAB6629" w14:textId="77777777" w:rsidR="00535559" w:rsidRPr="008C25B9" w:rsidRDefault="00535559" w:rsidP="00AE0C92">
            <w:pPr>
              <w:adjustRightInd w:val="0"/>
              <w:ind w:right="720"/>
              <w:rPr>
                <w:lang w:eastAsia="ko-KR"/>
              </w:rPr>
            </w:pPr>
            <w:r w:rsidRPr="008C25B9">
              <w:rPr>
                <w:lang w:eastAsia="ko-KR"/>
              </w:rPr>
              <w:t>Operator’s name</w:t>
            </w:r>
          </w:p>
        </w:tc>
        <w:tc>
          <w:tcPr>
            <w:tcW w:w="1434" w:type="dxa"/>
          </w:tcPr>
          <w:p w14:paraId="1D7B1E1F" w14:textId="77777777" w:rsidR="00535559" w:rsidRPr="008C25B9" w:rsidRDefault="00535559" w:rsidP="00AE0C92">
            <w:pPr>
              <w:pStyle w:val="NoSpacing"/>
            </w:pPr>
            <w:r w:rsidRPr="008C25B9">
              <w:rPr>
                <w:lang w:eastAsia="ko-KR"/>
              </w:rPr>
              <w:t>Year</w:t>
            </w:r>
          </w:p>
        </w:tc>
        <w:tc>
          <w:tcPr>
            <w:tcW w:w="2127" w:type="dxa"/>
          </w:tcPr>
          <w:p w14:paraId="173F3C0B" w14:textId="77777777" w:rsidR="00535559" w:rsidRPr="008C25B9" w:rsidRDefault="00535559" w:rsidP="00AE0C92">
            <w:pPr>
              <w:pStyle w:val="NoSpacing"/>
              <w:rPr>
                <w:lang w:eastAsia="ko-KR"/>
              </w:rPr>
            </w:pPr>
            <w:r w:rsidRPr="008C25B9">
              <w:rPr>
                <w:lang w:eastAsia="ko-KR"/>
              </w:rPr>
              <w:t>Mobile Subscribers</w:t>
            </w:r>
          </w:p>
        </w:tc>
        <w:tc>
          <w:tcPr>
            <w:tcW w:w="1701" w:type="dxa"/>
          </w:tcPr>
          <w:p w14:paraId="6FEF2EFC" w14:textId="77777777" w:rsidR="00535559" w:rsidRDefault="00535559" w:rsidP="00AE0C92">
            <w:pPr>
              <w:pStyle w:val="NoSpacing"/>
              <w:rPr>
                <w:lang w:eastAsia="ko-KR"/>
              </w:rPr>
            </w:pPr>
            <w:r w:rsidRPr="008C25B9">
              <w:rPr>
                <w:lang w:eastAsia="ko-KR"/>
              </w:rPr>
              <w:t xml:space="preserve">Installed BTS </w:t>
            </w:r>
          </w:p>
          <w:p w14:paraId="45EA7434" w14:textId="77777777" w:rsidR="00535559" w:rsidRPr="008C25B9" w:rsidRDefault="00535559" w:rsidP="00AE0C92">
            <w:pPr>
              <w:pStyle w:val="NoSpacing"/>
              <w:rPr>
                <w:lang w:eastAsia="ko-KR"/>
              </w:rPr>
            </w:pPr>
            <w:r w:rsidRPr="008C25B9">
              <w:rPr>
                <w:lang w:eastAsia="ko-KR"/>
              </w:rPr>
              <w:t>sites</w:t>
            </w:r>
          </w:p>
        </w:tc>
        <w:tc>
          <w:tcPr>
            <w:tcW w:w="2125" w:type="dxa"/>
          </w:tcPr>
          <w:p w14:paraId="4E78D611" w14:textId="77777777" w:rsidR="00535559" w:rsidRPr="008C25B9" w:rsidRDefault="00535559" w:rsidP="00AE0C92">
            <w:pPr>
              <w:pStyle w:val="NoSpacing"/>
              <w:rPr>
                <w:lang w:eastAsia="ko-KR"/>
              </w:rPr>
            </w:pPr>
            <w:r>
              <w:rPr>
                <w:rFonts w:hint="eastAsia"/>
                <w:lang w:eastAsia="ko-KR"/>
              </w:rPr>
              <w:t>Assigned spectrum</w:t>
            </w:r>
            <w:r>
              <w:rPr>
                <w:lang w:eastAsia="ko-KR"/>
              </w:rPr>
              <w:t xml:space="preserve"> in MHz</w:t>
            </w:r>
          </w:p>
        </w:tc>
      </w:tr>
      <w:tr w:rsidR="00535559" w:rsidRPr="008C25B9" w14:paraId="11309623" w14:textId="77777777" w:rsidTr="00AE0C92">
        <w:tc>
          <w:tcPr>
            <w:tcW w:w="1963" w:type="dxa"/>
          </w:tcPr>
          <w:p w14:paraId="3656D73D" w14:textId="77777777" w:rsidR="00535559" w:rsidRPr="008C25B9" w:rsidRDefault="00535559" w:rsidP="00AE0C92">
            <w:pPr>
              <w:ind w:right="720"/>
              <w:rPr>
                <w:lang w:eastAsia="ko-KR"/>
              </w:rPr>
            </w:pPr>
          </w:p>
        </w:tc>
        <w:tc>
          <w:tcPr>
            <w:tcW w:w="1434" w:type="dxa"/>
          </w:tcPr>
          <w:p w14:paraId="3C8C0358" w14:textId="77777777" w:rsidR="00535559" w:rsidRPr="008C25B9" w:rsidRDefault="00535559" w:rsidP="00AE0C92">
            <w:pPr>
              <w:ind w:right="720"/>
              <w:rPr>
                <w:lang w:eastAsia="ko-KR"/>
              </w:rPr>
            </w:pPr>
          </w:p>
        </w:tc>
        <w:tc>
          <w:tcPr>
            <w:tcW w:w="2127" w:type="dxa"/>
          </w:tcPr>
          <w:p w14:paraId="62692C0C" w14:textId="77777777" w:rsidR="00535559" w:rsidRPr="008C25B9" w:rsidRDefault="00535559" w:rsidP="00AE0C92">
            <w:pPr>
              <w:ind w:right="720"/>
            </w:pPr>
          </w:p>
        </w:tc>
        <w:tc>
          <w:tcPr>
            <w:tcW w:w="1701" w:type="dxa"/>
          </w:tcPr>
          <w:p w14:paraId="77CBA378" w14:textId="77777777" w:rsidR="00535559" w:rsidRPr="008C25B9" w:rsidRDefault="00535559" w:rsidP="00AE0C92">
            <w:pPr>
              <w:ind w:right="720"/>
            </w:pPr>
          </w:p>
        </w:tc>
        <w:tc>
          <w:tcPr>
            <w:tcW w:w="2125" w:type="dxa"/>
          </w:tcPr>
          <w:p w14:paraId="5A4B2E00" w14:textId="77777777" w:rsidR="00535559" w:rsidRPr="008C25B9" w:rsidRDefault="00535559" w:rsidP="00AE0C92">
            <w:pPr>
              <w:ind w:right="720"/>
            </w:pPr>
          </w:p>
        </w:tc>
      </w:tr>
      <w:tr w:rsidR="00535559" w:rsidRPr="008C25B9" w14:paraId="3FF1D15E" w14:textId="77777777" w:rsidTr="00AE0C92">
        <w:tc>
          <w:tcPr>
            <w:tcW w:w="1963" w:type="dxa"/>
          </w:tcPr>
          <w:p w14:paraId="0FFC71EB" w14:textId="77777777" w:rsidR="00535559" w:rsidRPr="008C25B9" w:rsidRDefault="00535559" w:rsidP="00AE0C92">
            <w:pPr>
              <w:ind w:right="720"/>
              <w:rPr>
                <w:lang w:eastAsia="ko-KR"/>
              </w:rPr>
            </w:pPr>
          </w:p>
        </w:tc>
        <w:tc>
          <w:tcPr>
            <w:tcW w:w="1434" w:type="dxa"/>
          </w:tcPr>
          <w:p w14:paraId="62AAF67F" w14:textId="77777777" w:rsidR="00535559" w:rsidRPr="008C25B9" w:rsidRDefault="00535559" w:rsidP="00AE0C92">
            <w:pPr>
              <w:ind w:right="720"/>
              <w:rPr>
                <w:lang w:eastAsia="ko-KR"/>
              </w:rPr>
            </w:pPr>
          </w:p>
        </w:tc>
        <w:tc>
          <w:tcPr>
            <w:tcW w:w="2127" w:type="dxa"/>
          </w:tcPr>
          <w:p w14:paraId="53BF53D5" w14:textId="77777777" w:rsidR="00535559" w:rsidRPr="008C25B9" w:rsidRDefault="00535559" w:rsidP="00AE0C92">
            <w:pPr>
              <w:ind w:right="720"/>
            </w:pPr>
          </w:p>
        </w:tc>
        <w:tc>
          <w:tcPr>
            <w:tcW w:w="1701" w:type="dxa"/>
          </w:tcPr>
          <w:p w14:paraId="6DFFE938" w14:textId="77777777" w:rsidR="00535559" w:rsidRPr="008C25B9" w:rsidRDefault="00535559" w:rsidP="00AE0C92">
            <w:pPr>
              <w:ind w:right="720"/>
            </w:pPr>
          </w:p>
        </w:tc>
        <w:tc>
          <w:tcPr>
            <w:tcW w:w="2125" w:type="dxa"/>
          </w:tcPr>
          <w:p w14:paraId="0DA2F731" w14:textId="77777777" w:rsidR="00535559" w:rsidRPr="008C25B9" w:rsidRDefault="00535559" w:rsidP="00AE0C92">
            <w:pPr>
              <w:ind w:right="720"/>
            </w:pPr>
          </w:p>
        </w:tc>
      </w:tr>
      <w:tr w:rsidR="00535559" w:rsidRPr="008C25B9" w14:paraId="1A6B2C0B" w14:textId="77777777" w:rsidTr="00AE0C92">
        <w:tc>
          <w:tcPr>
            <w:tcW w:w="1963" w:type="dxa"/>
          </w:tcPr>
          <w:p w14:paraId="3AF9D053" w14:textId="77777777" w:rsidR="00535559" w:rsidRPr="008C25B9" w:rsidRDefault="00535559" w:rsidP="00AE0C92">
            <w:pPr>
              <w:ind w:right="720"/>
              <w:rPr>
                <w:lang w:eastAsia="ko-KR"/>
              </w:rPr>
            </w:pPr>
          </w:p>
        </w:tc>
        <w:tc>
          <w:tcPr>
            <w:tcW w:w="1434" w:type="dxa"/>
          </w:tcPr>
          <w:p w14:paraId="1CB9DD71" w14:textId="77777777" w:rsidR="00535559" w:rsidRPr="008C25B9" w:rsidRDefault="00535559" w:rsidP="00AE0C92">
            <w:pPr>
              <w:ind w:right="720"/>
              <w:rPr>
                <w:lang w:eastAsia="ko-KR"/>
              </w:rPr>
            </w:pPr>
          </w:p>
        </w:tc>
        <w:tc>
          <w:tcPr>
            <w:tcW w:w="2127" w:type="dxa"/>
          </w:tcPr>
          <w:p w14:paraId="2170F100" w14:textId="77777777" w:rsidR="00535559" w:rsidRPr="008C25B9" w:rsidRDefault="00535559" w:rsidP="00AE0C92">
            <w:pPr>
              <w:ind w:right="720"/>
            </w:pPr>
          </w:p>
        </w:tc>
        <w:tc>
          <w:tcPr>
            <w:tcW w:w="1701" w:type="dxa"/>
          </w:tcPr>
          <w:p w14:paraId="04DA4247" w14:textId="77777777" w:rsidR="00535559" w:rsidRPr="008C25B9" w:rsidRDefault="00535559" w:rsidP="00AE0C92">
            <w:pPr>
              <w:ind w:right="720"/>
            </w:pPr>
          </w:p>
        </w:tc>
        <w:tc>
          <w:tcPr>
            <w:tcW w:w="2125" w:type="dxa"/>
          </w:tcPr>
          <w:p w14:paraId="442D56E3" w14:textId="77777777" w:rsidR="00535559" w:rsidRPr="008C25B9" w:rsidRDefault="00535559" w:rsidP="00AE0C92">
            <w:pPr>
              <w:ind w:right="720"/>
            </w:pPr>
          </w:p>
        </w:tc>
      </w:tr>
      <w:tr w:rsidR="00535559" w:rsidRPr="008C25B9" w14:paraId="1AD3CC4D" w14:textId="77777777" w:rsidTr="00AE0C92">
        <w:tc>
          <w:tcPr>
            <w:tcW w:w="1963" w:type="dxa"/>
          </w:tcPr>
          <w:p w14:paraId="1C8552DA" w14:textId="77777777" w:rsidR="00535559" w:rsidRPr="008C25B9" w:rsidRDefault="00535559" w:rsidP="00AE0C92">
            <w:pPr>
              <w:ind w:right="720"/>
              <w:rPr>
                <w:lang w:eastAsia="ko-KR"/>
              </w:rPr>
            </w:pPr>
          </w:p>
        </w:tc>
        <w:tc>
          <w:tcPr>
            <w:tcW w:w="1434" w:type="dxa"/>
          </w:tcPr>
          <w:p w14:paraId="41C83928" w14:textId="77777777" w:rsidR="00535559" w:rsidRPr="008C25B9" w:rsidRDefault="00535559" w:rsidP="00AE0C92">
            <w:pPr>
              <w:ind w:right="720"/>
              <w:rPr>
                <w:lang w:eastAsia="ko-KR"/>
              </w:rPr>
            </w:pPr>
          </w:p>
        </w:tc>
        <w:tc>
          <w:tcPr>
            <w:tcW w:w="2127" w:type="dxa"/>
          </w:tcPr>
          <w:p w14:paraId="394583B5" w14:textId="77777777" w:rsidR="00535559" w:rsidRPr="008C25B9" w:rsidRDefault="00535559" w:rsidP="00AE0C92">
            <w:pPr>
              <w:ind w:right="720"/>
            </w:pPr>
          </w:p>
        </w:tc>
        <w:tc>
          <w:tcPr>
            <w:tcW w:w="1701" w:type="dxa"/>
          </w:tcPr>
          <w:p w14:paraId="3ADA77DE" w14:textId="77777777" w:rsidR="00535559" w:rsidRPr="008C25B9" w:rsidRDefault="00535559" w:rsidP="00AE0C92">
            <w:pPr>
              <w:ind w:right="720"/>
            </w:pPr>
          </w:p>
        </w:tc>
        <w:tc>
          <w:tcPr>
            <w:tcW w:w="2125" w:type="dxa"/>
          </w:tcPr>
          <w:p w14:paraId="6A355391" w14:textId="77777777" w:rsidR="00535559" w:rsidRPr="008C25B9" w:rsidRDefault="00535559" w:rsidP="00AE0C92">
            <w:pPr>
              <w:ind w:right="720"/>
            </w:pPr>
          </w:p>
        </w:tc>
      </w:tr>
      <w:tr w:rsidR="00535559" w:rsidRPr="008C25B9" w14:paraId="2097BABD" w14:textId="77777777" w:rsidTr="00AE0C92">
        <w:tc>
          <w:tcPr>
            <w:tcW w:w="1963" w:type="dxa"/>
          </w:tcPr>
          <w:p w14:paraId="4A516BA8" w14:textId="77777777" w:rsidR="00535559" w:rsidRPr="008C25B9" w:rsidRDefault="00535559" w:rsidP="00AE0C92">
            <w:pPr>
              <w:ind w:right="720"/>
              <w:rPr>
                <w:lang w:eastAsia="ko-KR"/>
              </w:rPr>
            </w:pPr>
          </w:p>
        </w:tc>
        <w:tc>
          <w:tcPr>
            <w:tcW w:w="1434" w:type="dxa"/>
          </w:tcPr>
          <w:p w14:paraId="309BE306" w14:textId="77777777" w:rsidR="00535559" w:rsidRPr="008C25B9" w:rsidRDefault="00535559" w:rsidP="00AE0C92">
            <w:pPr>
              <w:ind w:right="720"/>
              <w:rPr>
                <w:lang w:eastAsia="ko-KR"/>
              </w:rPr>
            </w:pPr>
          </w:p>
        </w:tc>
        <w:tc>
          <w:tcPr>
            <w:tcW w:w="2127" w:type="dxa"/>
          </w:tcPr>
          <w:p w14:paraId="67613299" w14:textId="77777777" w:rsidR="00535559" w:rsidRPr="008C25B9" w:rsidRDefault="00535559" w:rsidP="00AE0C92">
            <w:pPr>
              <w:ind w:right="720"/>
            </w:pPr>
          </w:p>
        </w:tc>
        <w:tc>
          <w:tcPr>
            <w:tcW w:w="1701" w:type="dxa"/>
          </w:tcPr>
          <w:p w14:paraId="16DEF41F" w14:textId="77777777" w:rsidR="00535559" w:rsidRPr="008C25B9" w:rsidRDefault="00535559" w:rsidP="00AE0C92">
            <w:pPr>
              <w:ind w:right="720"/>
            </w:pPr>
          </w:p>
        </w:tc>
        <w:tc>
          <w:tcPr>
            <w:tcW w:w="2125" w:type="dxa"/>
          </w:tcPr>
          <w:p w14:paraId="02480941" w14:textId="77777777" w:rsidR="00535559" w:rsidRPr="008C25B9" w:rsidRDefault="00535559" w:rsidP="00AE0C92">
            <w:pPr>
              <w:ind w:right="720"/>
            </w:pPr>
          </w:p>
        </w:tc>
      </w:tr>
      <w:tr w:rsidR="00535559" w:rsidRPr="008C25B9" w14:paraId="43543A84" w14:textId="77777777" w:rsidTr="00AE0C92">
        <w:tc>
          <w:tcPr>
            <w:tcW w:w="1963" w:type="dxa"/>
          </w:tcPr>
          <w:p w14:paraId="77E39A02" w14:textId="77777777" w:rsidR="00535559" w:rsidRPr="008C25B9" w:rsidRDefault="00535559" w:rsidP="00AE0C92">
            <w:pPr>
              <w:ind w:right="720"/>
              <w:rPr>
                <w:lang w:eastAsia="ko-KR"/>
              </w:rPr>
            </w:pPr>
          </w:p>
        </w:tc>
        <w:tc>
          <w:tcPr>
            <w:tcW w:w="1434" w:type="dxa"/>
          </w:tcPr>
          <w:p w14:paraId="71983C27" w14:textId="77777777" w:rsidR="00535559" w:rsidRPr="008C25B9" w:rsidRDefault="00535559" w:rsidP="00AE0C92">
            <w:pPr>
              <w:ind w:right="720"/>
              <w:rPr>
                <w:lang w:eastAsia="ko-KR"/>
              </w:rPr>
            </w:pPr>
          </w:p>
        </w:tc>
        <w:tc>
          <w:tcPr>
            <w:tcW w:w="2127" w:type="dxa"/>
          </w:tcPr>
          <w:p w14:paraId="7848A711" w14:textId="77777777" w:rsidR="00535559" w:rsidRPr="008C25B9" w:rsidRDefault="00535559" w:rsidP="00AE0C92">
            <w:pPr>
              <w:ind w:right="720"/>
            </w:pPr>
          </w:p>
        </w:tc>
        <w:tc>
          <w:tcPr>
            <w:tcW w:w="1701" w:type="dxa"/>
          </w:tcPr>
          <w:p w14:paraId="163E1D9B" w14:textId="77777777" w:rsidR="00535559" w:rsidRPr="008C25B9" w:rsidRDefault="00535559" w:rsidP="00AE0C92">
            <w:pPr>
              <w:ind w:right="720"/>
            </w:pPr>
          </w:p>
        </w:tc>
        <w:tc>
          <w:tcPr>
            <w:tcW w:w="2125" w:type="dxa"/>
          </w:tcPr>
          <w:p w14:paraId="68028279" w14:textId="77777777" w:rsidR="00535559" w:rsidRPr="008C25B9" w:rsidRDefault="00535559" w:rsidP="00AE0C92">
            <w:pPr>
              <w:ind w:right="720"/>
            </w:pPr>
          </w:p>
        </w:tc>
      </w:tr>
      <w:tr w:rsidR="00535559" w:rsidRPr="008C25B9" w14:paraId="77D952E5" w14:textId="77777777" w:rsidTr="00AE0C92">
        <w:tc>
          <w:tcPr>
            <w:tcW w:w="1963" w:type="dxa"/>
          </w:tcPr>
          <w:p w14:paraId="1155BCA3" w14:textId="77777777" w:rsidR="00535559" w:rsidRPr="008C25B9" w:rsidRDefault="00535559" w:rsidP="00AE0C92">
            <w:pPr>
              <w:ind w:right="720"/>
              <w:rPr>
                <w:lang w:eastAsia="ko-KR"/>
              </w:rPr>
            </w:pPr>
          </w:p>
        </w:tc>
        <w:tc>
          <w:tcPr>
            <w:tcW w:w="1434" w:type="dxa"/>
          </w:tcPr>
          <w:p w14:paraId="21327529" w14:textId="77777777" w:rsidR="00535559" w:rsidRPr="008C25B9" w:rsidRDefault="00535559" w:rsidP="00AE0C92">
            <w:pPr>
              <w:ind w:right="720"/>
              <w:rPr>
                <w:lang w:eastAsia="ko-KR"/>
              </w:rPr>
            </w:pPr>
          </w:p>
        </w:tc>
        <w:tc>
          <w:tcPr>
            <w:tcW w:w="2127" w:type="dxa"/>
          </w:tcPr>
          <w:p w14:paraId="27C5655C" w14:textId="77777777" w:rsidR="00535559" w:rsidRPr="008C25B9" w:rsidRDefault="00535559" w:rsidP="00AE0C92">
            <w:pPr>
              <w:ind w:right="720"/>
            </w:pPr>
          </w:p>
        </w:tc>
        <w:tc>
          <w:tcPr>
            <w:tcW w:w="1701" w:type="dxa"/>
          </w:tcPr>
          <w:p w14:paraId="5ACE4E7D" w14:textId="77777777" w:rsidR="00535559" w:rsidRPr="008C25B9" w:rsidRDefault="00535559" w:rsidP="00AE0C92">
            <w:pPr>
              <w:ind w:right="720"/>
            </w:pPr>
          </w:p>
        </w:tc>
        <w:tc>
          <w:tcPr>
            <w:tcW w:w="2125" w:type="dxa"/>
          </w:tcPr>
          <w:p w14:paraId="37A609F8" w14:textId="77777777" w:rsidR="00535559" w:rsidRPr="008C25B9" w:rsidRDefault="00535559" w:rsidP="00AE0C92">
            <w:pPr>
              <w:ind w:right="720"/>
            </w:pPr>
          </w:p>
        </w:tc>
      </w:tr>
      <w:tr w:rsidR="00535559" w:rsidRPr="008C25B9" w14:paraId="3BE3E35E" w14:textId="77777777" w:rsidTr="00AE0C92">
        <w:tc>
          <w:tcPr>
            <w:tcW w:w="1963" w:type="dxa"/>
          </w:tcPr>
          <w:p w14:paraId="674E194B" w14:textId="77777777" w:rsidR="00535559" w:rsidRPr="008C25B9" w:rsidRDefault="00535559" w:rsidP="00AE0C92">
            <w:pPr>
              <w:ind w:right="720"/>
              <w:rPr>
                <w:lang w:eastAsia="ko-KR"/>
              </w:rPr>
            </w:pPr>
          </w:p>
        </w:tc>
        <w:tc>
          <w:tcPr>
            <w:tcW w:w="1434" w:type="dxa"/>
          </w:tcPr>
          <w:p w14:paraId="3A2D470F" w14:textId="77777777" w:rsidR="00535559" w:rsidRPr="008C25B9" w:rsidRDefault="00535559" w:rsidP="00AE0C92">
            <w:pPr>
              <w:ind w:right="720"/>
              <w:rPr>
                <w:lang w:eastAsia="ko-KR"/>
              </w:rPr>
            </w:pPr>
          </w:p>
        </w:tc>
        <w:tc>
          <w:tcPr>
            <w:tcW w:w="2127" w:type="dxa"/>
          </w:tcPr>
          <w:p w14:paraId="760BEB1B" w14:textId="77777777" w:rsidR="00535559" w:rsidRPr="008C25B9" w:rsidRDefault="00535559" w:rsidP="00AE0C92">
            <w:pPr>
              <w:ind w:right="720"/>
            </w:pPr>
          </w:p>
        </w:tc>
        <w:tc>
          <w:tcPr>
            <w:tcW w:w="1701" w:type="dxa"/>
          </w:tcPr>
          <w:p w14:paraId="424750C9" w14:textId="77777777" w:rsidR="00535559" w:rsidRPr="008C25B9" w:rsidRDefault="00535559" w:rsidP="00AE0C92">
            <w:pPr>
              <w:ind w:right="720"/>
            </w:pPr>
          </w:p>
        </w:tc>
        <w:tc>
          <w:tcPr>
            <w:tcW w:w="2125" w:type="dxa"/>
          </w:tcPr>
          <w:p w14:paraId="44F3111A" w14:textId="77777777" w:rsidR="00535559" w:rsidRPr="008C25B9" w:rsidRDefault="00535559" w:rsidP="00AE0C92">
            <w:pPr>
              <w:ind w:right="720"/>
            </w:pPr>
          </w:p>
        </w:tc>
      </w:tr>
    </w:tbl>
    <w:p w14:paraId="30966D95" w14:textId="77777777" w:rsidR="00535559" w:rsidRDefault="00535559" w:rsidP="00535559">
      <w:pPr>
        <w:ind w:right="720"/>
      </w:pPr>
    </w:p>
    <w:p w14:paraId="15F6BE34" w14:textId="77777777" w:rsidR="00535559" w:rsidRDefault="00535559" w:rsidP="00535559">
      <w:pPr>
        <w:tabs>
          <w:tab w:val="num" w:pos="720"/>
        </w:tabs>
        <w:ind w:left="360" w:hangingChars="150" w:hanging="360"/>
      </w:pPr>
      <w:r>
        <w:t>Q2. How much average voice traffic per subscriber in busy hour (According to the TRAI report 2010, average busy hour voice traffic per subscriber in India is 0.05 Erlangs)?</w:t>
      </w:r>
    </w:p>
    <w:p w14:paraId="35EB98E6" w14:textId="77777777" w:rsidR="00535559" w:rsidRDefault="00535559" w:rsidP="00535559">
      <w:pPr>
        <w:tabs>
          <w:tab w:val="num" w:pos="720"/>
        </w:tabs>
        <w:ind w:left="360" w:hangingChars="150" w:hanging="360"/>
      </w:pPr>
      <w:r>
        <w:t>Q3. How much p</w:t>
      </w:r>
      <w:r w:rsidRPr="00A43035">
        <w:rPr>
          <w:rFonts w:eastAsia="Malgun Gothic" w:hint="eastAsia"/>
          <w:lang w:eastAsia="ko-KR"/>
        </w:rPr>
        <w:t xml:space="preserve">ercentage of </w:t>
      </w:r>
      <w:r w:rsidRPr="00A43035">
        <w:rPr>
          <w:rFonts w:eastAsia="Malgun Gothic"/>
          <w:lang w:eastAsia="ko-KR"/>
        </w:rPr>
        <w:t xml:space="preserve">traffic carried by </w:t>
      </w:r>
      <w:r>
        <w:rPr>
          <w:rFonts w:eastAsia="Malgun Gothic"/>
          <w:lang w:eastAsia="ko-KR"/>
        </w:rPr>
        <w:t xml:space="preserve">GSM </w:t>
      </w:r>
      <w:r w:rsidRPr="00A43035">
        <w:rPr>
          <w:rFonts w:eastAsia="Malgun Gothic" w:hint="eastAsia"/>
          <w:lang w:eastAsia="ko-KR"/>
        </w:rPr>
        <w:t>Half-</w:t>
      </w:r>
      <w:r>
        <w:rPr>
          <w:rFonts w:eastAsia="Malgun Gothic"/>
          <w:lang w:eastAsia="ko-KR"/>
        </w:rPr>
        <w:t>R</w:t>
      </w:r>
      <w:r w:rsidRPr="00A43035">
        <w:rPr>
          <w:rFonts w:eastAsia="Malgun Gothic"/>
          <w:lang w:eastAsia="ko-KR"/>
        </w:rPr>
        <w:t>ate channel in busy hour</w:t>
      </w:r>
      <w:r>
        <w:rPr>
          <w:rFonts w:eastAsia="Malgun Gothic"/>
          <w:lang w:eastAsia="ko-KR"/>
        </w:rPr>
        <w:t>?</w:t>
      </w:r>
    </w:p>
    <w:p w14:paraId="2A557863" w14:textId="77777777" w:rsidR="00535559" w:rsidRDefault="00535559" w:rsidP="00535559">
      <w:pPr>
        <w:tabs>
          <w:tab w:val="num" w:pos="720"/>
        </w:tabs>
        <w:ind w:left="360" w:hangingChars="150" w:hanging="360"/>
      </w:pPr>
      <w:r>
        <w:t>Q4. How much average data usages per subscriber per month in GB?</w:t>
      </w:r>
    </w:p>
    <w:p w14:paraId="2BF836B9" w14:textId="77777777" w:rsidR="00535559" w:rsidRDefault="00535559" w:rsidP="00535559">
      <w:pPr>
        <w:tabs>
          <w:tab w:val="num" w:pos="720"/>
        </w:tabs>
        <w:ind w:left="360" w:hangingChars="150" w:hanging="360"/>
      </w:pPr>
      <w:r>
        <w:t>Q5. How much average data speed per user is provided from the current network in busy hour?</w:t>
      </w:r>
    </w:p>
    <w:p w14:paraId="6C5818FE" w14:textId="77777777" w:rsidR="00535559" w:rsidRDefault="00535559" w:rsidP="00535559">
      <w:pPr>
        <w:pStyle w:val="ListParagraph"/>
        <w:numPr>
          <w:ilvl w:val="0"/>
          <w:numId w:val="6"/>
        </w:numPr>
        <w:tabs>
          <w:tab w:val="num" w:pos="720"/>
        </w:tabs>
        <w:spacing w:after="200" w:line="276" w:lineRule="auto"/>
        <w:contextualSpacing/>
        <w:jc w:val="both"/>
      </w:pPr>
      <w:r>
        <w:t>Uplink ---------------- Kbps?</w:t>
      </w:r>
    </w:p>
    <w:p w14:paraId="0AC3B48C" w14:textId="77777777" w:rsidR="00535559" w:rsidRDefault="00535559" w:rsidP="00535559">
      <w:pPr>
        <w:pStyle w:val="ListParagraph"/>
        <w:numPr>
          <w:ilvl w:val="0"/>
          <w:numId w:val="6"/>
        </w:numPr>
        <w:tabs>
          <w:tab w:val="num" w:pos="720"/>
        </w:tabs>
        <w:spacing w:after="200" w:line="276" w:lineRule="auto"/>
        <w:contextualSpacing/>
        <w:jc w:val="both"/>
      </w:pPr>
      <w:r>
        <w:rPr>
          <w:rFonts w:hint="eastAsia"/>
          <w:lang w:eastAsia="ko-KR"/>
        </w:rPr>
        <w:t xml:space="preserve"> </w:t>
      </w:r>
      <w:r>
        <w:rPr>
          <w:lang w:eastAsia="ko-KR"/>
        </w:rPr>
        <w:t>Downlink ----------- -Kbps?</w:t>
      </w:r>
    </w:p>
    <w:p w14:paraId="10F22479" w14:textId="77777777" w:rsidR="00535559" w:rsidRDefault="00535559" w:rsidP="00535559">
      <w:pPr>
        <w:tabs>
          <w:tab w:val="num" w:pos="720"/>
        </w:tabs>
        <w:rPr>
          <w:lang w:eastAsia="ko-KR"/>
        </w:rPr>
      </w:pPr>
      <w:r>
        <w:rPr>
          <w:rFonts w:hint="eastAsia"/>
          <w:lang w:eastAsia="ko-KR"/>
        </w:rPr>
        <w:t>Q6</w:t>
      </w:r>
      <w:r>
        <w:rPr>
          <w:lang w:eastAsia="ko-KR"/>
        </w:rPr>
        <w:t>. How much expected average data speed per user in busy hour after 2020?</w:t>
      </w:r>
    </w:p>
    <w:p w14:paraId="346DDF9E" w14:textId="77777777" w:rsidR="00535559" w:rsidRDefault="00535559" w:rsidP="00535559">
      <w:pPr>
        <w:tabs>
          <w:tab w:val="num" w:pos="720"/>
        </w:tabs>
        <w:ind w:firstLineChars="200" w:firstLine="480"/>
        <w:rPr>
          <w:lang w:eastAsia="ko-KR"/>
        </w:rPr>
      </w:pPr>
      <w:r>
        <w:rPr>
          <w:lang w:eastAsia="ko-KR"/>
        </w:rPr>
        <w:lastRenderedPageBreak/>
        <w:t>a. Uplink ---------------- Kbps?</w:t>
      </w:r>
    </w:p>
    <w:p w14:paraId="762889EF" w14:textId="77777777" w:rsidR="00535559" w:rsidRDefault="00535559" w:rsidP="00535559">
      <w:pPr>
        <w:tabs>
          <w:tab w:val="num" w:pos="720"/>
        </w:tabs>
        <w:ind w:firstLineChars="200" w:firstLine="480"/>
        <w:rPr>
          <w:lang w:eastAsia="ko-KR"/>
        </w:rPr>
      </w:pPr>
      <w:r>
        <w:rPr>
          <w:lang w:eastAsia="ko-KR"/>
        </w:rPr>
        <w:t>b. Downlink ----------- Kbps?</w:t>
      </w:r>
    </w:p>
    <w:p w14:paraId="0C40985A" w14:textId="77777777" w:rsidR="00535559" w:rsidRDefault="00535559" w:rsidP="00535559">
      <w:pPr>
        <w:tabs>
          <w:tab w:val="num" w:pos="720"/>
        </w:tabs>
        <w:ind w:left="480" w:hangingChars="200" w:hanging="480"/>
        <w:rPr>
          <w:lang w:eastAsia="ko-KR"/>
        </w:rPr>
      </w:pPr>
      <w:r>
        <w:rPr>
          <w:lang w:eastAsia="ko-KR"/>
        </w:rPr>
        <w:t xml:space="preserve">Q7. Do you have 4G network? If you have, do the operators use the carrier aggregation technology? </w:t>
      </w:r>
    </w:p>
    <w:p w14:paraId="2521785C" w14:textId="77777777" w:rsidR="00535559" w:rsidRDefault="00535559" w:rsidP="00535559">
      <w:pPr>
        <w:tabs>
          <w:tab w:val="num" w:pos="720"/>
        </w:tabs>
        <w:ind w:leftChars="200" w:left="480"/>
        <w:rPr>
          <w:lang w:eastAsia="ko-KR"/>
        </w:rPr>
      </w:pPr>
      <w:r>
        <w:rPr>
          <w:lang w:eastAsia="ko-KR"/>
        </w:rPr>
        <w:t xml:space="preserve">    a.    Channel bandwidth before carrier aggregation technology-------------- MHz?</w:t>
      </w:r>
    </w:p>
    <w:p w14:paraId="101315BA" w14:textId="77777777" w:rsidR="00535559" w:rsidRDefault="00535559" w:rsidP="00535559">
      <w:pPr>
        <w:pStyle w:val="ListParagraph"/>
        <w:numPr>
          <w:ilvl w:val="0"/>
          <w:numId w:val="7"/>
        </w:numPr>
        <w:tabs>
          <w:tab w:val="num" w:pos="720"/>
        </w:tabs>
        <w:spacing w:after="200"/>
        <w:contextualSpacing/>
        <w:jc w:val="both"/>
        <w:rPr>
          <w:lang w:eastAsia="ko-KR"/>
        </w:rPr>
      </w:pPr>
      <w:r>
        <w:rPr>
          <w:rFonts w:hint="eastAsia"/>
          <w:lang w:eastAsia="ko-KR"/>
        </w:rPr>
        <w:t xml:space="preserve"> </w:t>
      </w:r>
      <w:r>
        <w:rPr>
          <w:lang w:eastAsia="ko-KR"/>
        </w:rPr>
        <w:t>Channel bandwidth after carrier aggregation technology---------------- MHz?</w:t>
      </w:r>
    </w:p>
    <w:p w14:paraId="47352BCE" w14:textId="77777777" w:rsidR="00535559" w:rsidRDefault="00535559" w:rsidP="00535559">
      <w:pPr>
        <w:pStyle w:val="ListParagraph"/>
        <w:ind w:left="900"/>
        <w:rPr>
          <w:lang w:eastAsia="ko-KR"/>
        </w:rPr>
      </w:pPr>
    </w:p>
    <w:p w14:paraId="5DDE5041" w14:textId="77777777" w:rsidR="00535559" w:rsidRDefault="00535559" w:rsidP="00535559">
      <w:pPr>
        <w:pStyle w:val="ListParagraph"/>
        <w:numPr>
          <w:ilvl w:val="0"/>
          <w:numId w:val="7"/>
        </w:numPr>
        <w:tabs>
          <w:tab w:val="num" w:pos="720"/>
        </w:tabs>
        <w:spacing w:after="200" w:line="276" w:lineRule="auto"/>
        <w:contextualSpacing/>
        <w:jc w:val="both"/>
        <w:rPr>
          <w:lang w:eastAsia="ko-KR"/>
        </w:rPr>
      </w:pPr>
      <w:r>
        <w:rPr>
          <w:lang w:eastAsia="ko-KR"/>
        </w:rPr>
        <w:t xml:space="preserve"> Spectrum bands are using for carrier aggregation technology?</w:t>
      </w:r>
    </w:p>
    <w:p w14:paraId="34B9C653" w14:textId="77777777" w:rsidR="00535559" w:rsidRDefault="00535559" w:rsidP="00535559">
      <w:pPr>
        <w:tabs>
          <w:tab w:val="num" w:pos="720"/>
        </w:tabs>
      </w:pPr>
      <w:r>
        <w:t>Q8. Cell area (coverage area per BTS site) in sq. km.</w:t>
      </w:r>
    </w:p>
    <w:tbl>
      <w:tblPr>
        <w:tblStyle w:val="TableGrid"/>
        <w:tblW w:w="0" w:type="auto"/>
        <w:tblInd w:w="890" w:type="dxa"/>
        <w:tblLook w:val="04A0" w:firstRow="1" w:lastRow="0" w:firstColumn="1" w:lastColumn="0" w:noHBand="0" w:noVBand="1"/>
      </w:tblPr>
      <w:tblGrid>
        <w:gridCol w:w="2791"/>
        <w:gridCol w:w="1417"/>
        <w:gridCol w:w="1418"/>
        <w:gridCol w:w="1947"/>
      </w:tblGrid>
      <w:tr w:rsidR="00535559" w14:paraId="4DA0D8D9" w14:textId="77777777" w:rsidTr="00AE0C92">
        <w:tc>
          <w:tcPr>
            <w:tcW w:w="2791" w:type="dxa"/>
          </w:tcPr>
          <w:p w14:paraId="55FA2987" w14:textId="77777777" w:rsidR="00535559" w:rsidRDefault="00535559" w:rsidP="00AE0C92">
            <w:pPr>
              <w:tabs>
                <w:tab w:val="num" w:pos="720"/>
              </w:tabs>
              <w:rPr>
                <w:lang w:eastAsia="ko-KR"/>
              </w:rPr>
            </w:pPr>
            <w:r>
              <w:rPr>
                <w:rFonts w:hint="eastAsia"/>
                <w:lang w:eastAsia="ko-KR"/>
              </w:rPr>
              <w:t>Geo</w:t>
            </w:r>
            <w:r>
              <w:rPr>
                <w:lang w:eastAsia="ko-KR"/>
              </w:rPr>
              <w:t>graphical area</w:t>
            </w:r>
          </w:p>
        </w:tc>
        <w:tc>
          <w:tcPr>
            <w:tcW w:w="1417" w:type="dxa"/>
          </w:tcPr>
          <w:p w14:paraId="791815E7" w14:textId="77777777" w:rsidR="00535559" w:rsidRDefault="00535559" w:rsidP="00AE0C92">
            <w:pPr>
              <w:tabs>
                <w:tab w:val="num" w:pos="720"/>
              </w:tabs>
              <w:rPr>
                <w:lang w:eastAsia="ko-KR"/>
              </w:rPr>
            </w:pPr>
            <w:r>
              <w:rPr>
                <w:rFonts w:hint="eastAsia"/>
                <w:lang w:eastAsia="ko-KR"/>
              </w:rPr>
              <w:t>2G network</w:t>
            </w:r>
          </w:p>
        </w:tc>
        <w:tc>
          <w:tcPr>
            <w:tcW w:w="1418" w:type="dxa"/>
          </w:tcPr>
          <w:p w14:paraId="2C0D3468" w14:textId="77777777" w:rsidR="00535559" w:rsidRDefault="00535559" w:rsidP="00AE0C92">
            <w:pPr>
              <w:tabs>
                <w:tab w:val="num" w:pos="720"/>
              </w:tabs>
              <w:rPr>
                <w:lang w:eastAsia="ko-KR"/>
              </w:rPr>
            </w:pPr>
            <w:r>
              <w:rPr>
                <w:rFonts w:hint="eastAsia"/>
                <w:lang w:eastAsia="ko-KR"/>
              </w:rPr>
              <w:t>3G network</w:t>
            </w:r>
          </w:p>
        </w:tc>
        <w:tc>
          <w:tcPr>
            <w:tcW w:w="1947" w:type="dxa"/>
          </w:tcPr>
          <w:p w14:paraId="11A04C6E" w14:textId="77777777" w:rsidR="00535559" w:rsidRDefault="00535559" w:rsidP="00AE0C92">
            <w:pPr>
              <w:tabs>
                <w:tab w:val="num" w:pos="720"/>
              </w:tabs>
              <w:rPr>
                <w:lang w:eastAsia="ko-KR"/>
              </w:rPr>
            </w:pPr>
            <w:r>
              <w:rPr>
                <w:rFonts w:hint="eastAsia"/>
                <w:lang w:eastAsia="ko-KR"/>
              </w:rPr>
              <w:t>4G</w:t>
            </w:r>
            <w:r>
              <w:rPr>
                <w:lang w:eastAsia="ko-KR"/>
              </w:rPr>
              <w:t>/LTE</w:t>
            </w:r>
            <w:r>
              <w:rPr>
                <w:rFonts w:hint="eastAsia"/>
                <w:lang w:eastAsia="ko-KR"/>
              </w:rPr>
              <w:t xml:space="preserve"> network</w:t>
            </w:r>
          </w:p>
        </w:tc>
      </w:tr>
      <w:tr w:rsidR="00535559" w14:paraId="263F53F2" w14:textId="77777777" w:rsidTr="00AE0C92">
        <w:tc>
          <w:tcPr>
            <w:tcW w:w="2791" w:type="dxa"/>
          </w:tcPr>
          <w:p w14:paraId="2EABE236" w14:textId="77777777" w:rsidR="00535559" w:rsidRDefault="00535559" w:rsidP="00AE0C92">
            <w:pPr>
              <w:tabs>
                <w:tab w:val="num" w:pos="720"/>
              </w:tabs>
              <w:rPr>
                <w:lang w:eastAsia="ko-KR"/>
              </w:rPr>
            </w:pPr>
            <w:r>
              <w:rPr>
                <w:rFonts w:hint="eastAsia"/>
                <w:lang w:eastAsia="ko-KR"/>
              </w:rPr>
              <w:t>Dense</w:t>
            </w:r>
            <w:r>
              <w:rPr>
                <w:lang w:eastAsia="ko-KR"/>
              </w:rPr>
              <w:t xml:space="preserve"> urban</w:t>
            </w:r>
          </w:p>
        </w:tc>
        <w:tc>
          <w:tcPr>
            <w:tcW w:w="1417" w:type="dxa"/>
          </w:tcPr>
          <w:p w14:paraId="1312023E" w14:textId="77777777" w:rsidR="00535559" w:rsidRDefault="00535559" w:rsidP="00AE0C92">
            <w:pPr>
              <w:tabs>
                <w:tab w:val="num" w:pos="720"/>
              </w:tabs>
            </w:pPr>
          </w:p>
        </w:tc>
        <w:tc>
          <w:tcPr>
            <w:tcW w:w="1418" w:type="dxa"/>
          </w:tcPr>
          <w:p w14:paraId="34ECC915" w14:textId="77777777" w:rsidR="00535559" w:rsidRDefault="00535559" w:rsidP="00AE0C92">
            <w:pPr>
              <w:tabs>
                <w:tab w:val="num" w:pos="720"/>
              </w:tabs>
            </w:pPr>
          </w:p>
        </w:tc>
        <w:tc>
          <w:tcPr>
            <w:tcW w:w="1947" w:type="dxa"/>
          </w:tcPr>
          <w:p w14:paraId="7AEB0C2F" w14:textId="77777777" w:rsidR="00535559" w:rsidRDefault="00535559" w:rsidP="00AE0C92">
            <w:pPr>
              <w:tabs>
                <w:tab w:val="num" w:pos="720"/>
              </w:tabs>
            </w:pPr>
          </w:p>
        </w:tc>
      </w:tr>
      <w:tr w:rsidR="00535559" w14:paraId="1EBCFF1E" w14:textId="77777777" w:rsidTr="00AE0C92">
        <w:tc>
          <w:tcPr>
            <w:tcW w:w="2791" w:type="dxa"/>
          </w:tcPr>
          <w:p w14:paraId="668441E7" w14:textId="77777777" w:rsidR="00535559" w:rsidRDefault="00535559" w:rsidP="00AE0C92">
            <w:pPr>
              <w:tabs>
                <w:tab w:val="num" w:pos="720"/>
              </w:tabs>
              <w:rPr>
                <w:lang w:eastAsia="ko-KR"/>
              </w:rPr>
            </w:pPr>
            <w:r>
              <w:rPr>
                <w:rFonts w:hint="eastAsia"/>
                <w:lang w:eastAsia="ko-KR"/>
              </w:rPr>
              <w:t>Urban</w:t>
            </w:r>
          </w:p>
        </w:tc>
        <w:tc>
          <w:tcPr>
            <w:tcW w:w="1417" w:type="dxa"/>
          </w:tcPr>
          <w:p w14:paraId="7AE136B2" w14:textId="77777777" w:rsidR="00535559" w:rsidRDefault="00535559" w:rsidP="00AE0C92">
            <w:pPr>
              <w:tabs>
                <w:tab w:val="num" w:pos="720"/>
              </w:tabs>
            </w:pPr>
          </w:p>
        </w:tc>
        <w:tc>
          <w:tcPr>
            <w:tcW w:w="1418" w:type="dxa"/>
          </w:tcPr>
          <w:p w14:paraId="2CFC4D91" w14:textId="77777777" w:rsidR="00535559" w:rsidRDefault="00535559" w:rsidP="00AE0C92">
            <w:pPr>
              <w:tabs>
                <w:tab w:val="num" w:pos="720"/>
              </w:tabs>
            </w:pPr>
          </w:p>
        </w:tc>
        <w:tc>
          <w:tcPr>
            <w:tcW w:w="1947" w:type="dxa"/>
          </w:tcPr>
          <w:p w14:paraId="663873BD" w14:textId="77777777" w:rsidR="00535559" w:rsidRDefault="00535559" w:rsidP="00AE0C92">
            <w:pPr>
              <w:tabs>
                <w:tab w:val="num" w:pos="720"/>
              </w:tabs>
            </w:pPr>
          </w:p>
        </w:tc>
      </w:tr>
      <w:tr w:rsidR="00535559" w14:paraId="6C05E500" w14:textId="77777777" w:rsidTr="00AE0C92">
        <w:tc>
          <w:tcPr>
            <w:tcW w:w="2791" w:type="dxa"/>
          </w:tcPr>
          <w:p w14:paraId="5393D320" w14:textId="77777777" w:rsidR="00535559" w:rsidRDefault="00535559" w:rsidP="00AE0C92">
            <w:pPr>
              <w:tabs>
                <w:tab w:val="num" w:pos="720"/>
              </w:tabs>
              <w:rPr>
                <w:lang w:eastAsia="ko-KR"/>
              </w:rPr>
            </w:pPr>
            <w:r>
              <w:rPr>
                <w:rFonts w:hint="eastAsia"/>
                <w:lang w:eastAsia="ko-KR"/>
              </w:rPr>
              <w:t>Sub-ur</w:t>
            </w:r>
            <w:r>
              <w:rPr>
                <w:lang w:eastAsia="ko-KR"/>
              </w:rPr>
              <w:t>ban</w:t>
            </w:r>
          </w:p>
        </w:tc>
        <w:tc>
          <w:tcPr>
            <w:tcW w:w="1417" w:type="dxa"/>
          </w:tcPr>
          <w:p w14:paraId="6917596D" w14:textId="77777777" w:rsidR="00535559" w:rsidRDefault="00535559" w:rsidP="00AE0C92">
            <w:pPr>
              <w:tabs>
                <w:tab w:val="num" w:pos="720"/>
              </w:tabs>
            </w:pPr>
          </w:p>
        </w:tc>
        <w:tc>
          <w:tcPr>
            <w:tcW w:w="1418" w:type="dxa"/>
          </w:tcPr>
          <w:p w14:paraId="3FCE8C87" w14:textId="77777777" w:rsidR="00535559" w:rsidRDefault="00535559" w:rsidP="00AE0C92">
            <w:pPr>
              <w:tabs>
                <w:tab w:val="num" w:pos="720"/>
              </w:tabs>
            </w:pPr>
          </w:p>
        </w:tc>
        <w:tc>
          <w:tcPr>
            <w:tcW w:w="1947" w:type="dxa"/>
          </w:tcPr>
          <w:p w14:paraId="71F20064" w14:textId="77777777" w:rsidR="00535559" w:rsidRDefault="00535559" w:rsidP="00AE0C92">
            <w:pPr>
              <w:tabs>
                <w:tab w:val="num" w:pos="720"/>
              </w:tabs>
            </w:pPr>
          </w:p>
        </w:tc>
      </w:tr>
      <w:tr w:rsidR="00535559" w14:paraId="2D49B5DD" w14:textId="77777777" w:rsidTr="00AE0C92">
        <w:tc>
          <w:tcPr>
            <w:tcW w:w="2791" w:type="dxa"/>
          </w:tcPr>
          <w:p w14:paraId="392F27C3" w14:textId="77777777" w:rsidR="00535559" w:rsidRDefault="00535559" w:rsidP="00AE0C92">
            <w:pPr>
              <w:tabs>
                <w:tab w:val="num" w:pos="720"/>
              </w:tabs>
              <w:rPr>
                <w:lang w:eastAsia="ko-KR"/>
              </w:rPr>
            </w:pPr>
            <w:r>
              <w:rPr>
                <w:rFonts w:hint="eastAsia"/>
                <w:lang w:eastAsia="ko-KR"/>
              </w:rPr>
              <w:t>Rural</w:t>
            </w:r>
          </w:p>
        </w:tc>
        <w:tc>
          <w:tcPr>
            <w:tcW w:w="1417" w:type="dxa"/>
          </w:tcPr>
          <w:p w14:paraId="611539EE" w14:textId="77777777" w:rsidR="00535559" w:rsidRDefault="00535559" w:rsidP="00AE0C92">
            <w:pPr>
              <w:tabs>
                <w:tab w:val="num" w:pos="720"/>
              </w:tabs>
            </w:pPr>
          </w:p>
        </w:tc>
        <w:tc>
          <w:tcPr>
            <w:tcW w:w="1418" w:type="dxa"/>
          </w:tcPr>
          <w:p w14:paraId="065C545A" w14:textId="77777777" w:rsidR="00535559" w:rsidRDefault="00535559" w:rsidP="00AE0C92">
            <w:pPr>
              <w:tabs>
                <w:tab w:val="num" w:pos="720"/>
              </w:tabs>
            </w:pPr>
          </w:p>
        </w:tc>
        <w:tc>
          <w:tcPr>
            <w:tcW w:w="1947" w:type="dxa"/>
          </w:tcPr>
          <w:p w14:paraId="1F1CC1F6" w14:textId="77777777" w:rsidR="00535559" w:rsidRDefault="00535559" w:rsidP="00AE0C92">
            <w:pPr>
              <w:tabs>
                <w:tab w:val="num" w:pos="720"/>
              </w:tabs>
            </w:pPr>
          </w:p>
        </w:tc>
      </w:tr>
    </w:tbl>
    <w:p w14:paraId="7FD29B4D" w14:textId="77777777" w:rsidR="00535559" w:rsidRPr="009B0EA0" w:rsidRDefault="00535559" w:rsidP="00535559">
      <w:pPr>
        <w:tabs>
          <w:tab w:val="num" w:pos="720"/>
        </w:tabs>
        <w:rPr>
          <w:sz w:val="2"/>
        </w:rPr>
      </w:pPr>
    </w:p>
    <w:p w14:paraId="4D9CC5C5" w14:textId="77777777" w:rsidR="00535559" w:rsidRDefault="00535559" w:rsidP="00535559">
      <w:pPr>
        <w:tabs>
          <w:tab w:val="num" w:pos="720"/>
        </w:tabs>
        <w:ind w:left="360" w:hangingChars="150" w:hanging="360"/>
        <w:rPr>
          <w:lang w:eastAsia="ko-KR"/>
        </w:rPr>
      </w:pPr>
      <w:r>
        <w:rPr>
          <w:rFonts w:hint="eastAsia"/>
          <w:lang w:eastAsia="ko-KR"/>
        </w:rPr>
        <w:t xml:space="preserve">Q9. </w:t>
      </w:r>
      <w:r>
        <w:rPr>
          <w:lang w:eastAsia="ko-KR"/>
        </w:rPr>
        <w:t>Maximum busy hour traffic per BTS site (voice traffic in Erlangs and data traffic in GB)</w:t>
      </w:r>
    </w:p>
    <w:tbl>
      <w:tblPr>
        <w:tblStyle w:val="TableGrid"/>
        <w:tblW w:w="0" w:type="auto"/>
        <w:tblInd w:w="-5" w:type="dxa"/>
        <w:tblLook w:val="04A0" w:firstRow="1" w:lastRow="0" w:firstColumn="1" w:lastColumn="0" w:noHBand="0" w:noVBand="1"/>
      </w:tblPr>
      <w:tblGrid>
        <w:gridCol w:w="1985"/>
        <w:gridCol w:w="992"/>
        <w:gridCol w:w="1003"/>
        <w:gridCol w:w="840"/>
        <w:gridCol w:w="900"/>
        <w:gridCol w:w="1359"/>
        <w:gridCol w:w="1389"/>
      </w:tblGrid>
      <w:tr w:rsidR="00535559" w14:paraId="312E5EE6" w14:textId="77777777" w:rsidTr="00AE0C92">
        <w:tc>
          <w:tcPr>
            <w:tcW w:w="1985" w:type="dxa"/>
            <w:vMerge w:val="restart"/>
          </w:tcPr>
          <w:p w14:paraId="125BE685" w14:textId="77777777" w:rsidR="00535559" w:rsidRDefault="00535559" w:rsidP="00AE0C92">
            <w:pPr>
              <w:tabs>
                <w:tab w:val="num" w:pos="720"/>
              </w:tabs>
              <w:rPr>
                <w:lang w:eastAsia="ko-KR"/>
              </w:rPr>
            </w:pPr>
            <w:r>
              <w:rPr>
                <w:rFonts w:hint="eastAsia"/>
                <w:lang w:eastAsia="ko-KR"/>
              </w:rPr>
              <w:t>Geo</w:t>
            </w:r>
            <w:r>
              <w:rPr>
                <w:lang w:eastAsia="ko-KR"/>
              </w:rPr>
              <w:t>graphical area</w:t>
            </w:r>
          </w:p>
        </w:tc>
        <w:tc>
          <w:tcPr>
            <w:tcW w:w="1995" w:type="dxa"/>
            <w:gridSpan w:val="2"/>
          </w:tcPr>
          <w:p w14:paraId="6AA72886" w14:textId="77777777" w:rsidR="00535559" w:rsidRDefault="00535559" w:rsidP="00AE0C92">
            <w:pPr>
              <w:tabs>
                <w:tab w:val="num" w:pos="720"/>
              </w:tabs>
              <w:rPr>
                <w:lang w:eastAsia="ko-KR"/>
              </w:rPr>
            </w:pPr>
            <w:r>
              <w:rPr>
                <w:rFonts w:hint="eastAsia"/>
                <w:lang w:eastAsia="ko-KR"/>
              </w:rPr>
              <w:t>2G network</w:t>
            </w:r>
          </w:p>
        </w:tc>
        <w:tc>
          <w:tcPr>
            <w:tcW w:w="1740" w:type="dxa"/>
            <w:gridSpan w:val="2"/>
          </w:tcPr>
          <w:p w14:paraId="29CA7CF7" w14:textId="77777777" w:rsidR="00535559" w:rsidRDefault="00535559" w:rsidP="00AE0C92">
            <w:pPr>
              <w:tabs>
                <w:tab w:val="num" w:pos="720"/>
              </w:tabs>
              <w:rPr>
                <w:lang w:eastAsia="ko-KR"/>
              </w:rPr>
            </w:pPr>
            <w:r>
              <w:rPr>
                <w:rFonts w:hint="eastAsia"/>
                <w:lang w:eastAsia="ko-KR"/>
              </w:rPr>
              <w:t>3G network</w:t>
            </w:r>
          </w:p>
        </w:tc>
        <w:tc>
          <w:tcPr>
            <w:tcW w:w="2748" w:type="dxa"/>
            <w:gridSpan w:val="2"/>
          </w:tcPr>
          <w:p w14:paraId="5828D2DD" w14:textId="77777777" w:rsidR="00535559" w:rsidRDefault="00535559" w:rsidP="00AE0C92">
            <w:pPr>
              <w:tabs>
                <w:tab w:val="num" w:pos="720"/>
              </w:tabs>
              <w:rPr>
                <w:lang w:eastAsia="ko-KR"/>
              </w:rPr>
            </w:pPr>
            <w:r>
              <w:rPr>
                <w:lang w:eastAsia="ko-KR"/>
              </w:rPr>
              <w:t>4</w:t>
            </w:r>
            <w:r>
              <w:rPr>
                <w:rFonts w:hint="eastAsia"/>
                <w:lang w:eastAsia="ko-KR"/>
              </w:rPr>
              <w:t>G</w:t>
            </w:r>
            <w:r>
              <w:rPr>
                <w:lang w:eastAsia="ko-KR"/>
              </w:rPr>
              <w:t>/LTE</w:t>
            </w:r>
            <w:r>
              <w:rPr>
                <w:rFonts w:hint="eastAsia"/>
                <w:lang w:eastAsia="ko-KR"/>
              </w:rPr>
              <w:t xml:space="preserve"> network</w:t>
            </w:r>
          </w:p>
        </w:tc>
      </w:tr>
      <w:tr w:rsidR="00535559" w14:paraId="4C660CEA" w14:textId="77777777" w:rsidTr="00AE0C92">
        <w:tc>
          <w:tcPr>
            <w:tcW w:w="1985" w:type="dxa"/>
            <w:vMerge/>
          </w:tcPr>
          <w:p w14:paraId="5AFB65A2" w14:textId="77777777" w:rsidR="00535559" w:rsidRDefault="00535559" w:rsidP="00AE0C92">
            <w:pPr>
              <w:tabs>
                <w:tab w:val="num" w:pos="720"/>
              </w:tabs>
              <w:rPr>
                <w:lang w:eastAsia="ko-KR"/>
              </w:rPr>
            </w:pPr>
          </w:p>
        </w:tc>
        <w:tc>
          <w:tcPr>
            <w:tcW w:w="992" w:type="dxa"/>
          </w:tcPr>
          <w:p w14:paraId="7976EE03" w14:textId="77777777" w:rsidR="00535559" w:rsidRDefault="00535559" w:rsidP="00AE0C92">
            <w:pPr>
              <w:tabs>
                <w:tab w:val="num" w:pos="720"/>
              </w:tabs>
              <w:rPr>
                <w:lang w:eastAsia="ko-KR"/>
              </w:rPr>
            </w:pPr>
            <w:r>
              <w:rPr>
                <w:rFonts w:hint="eastAsia"/>
                <w:lang w:eastAsia="ko-KR"/>
              </w:rPr>
              <w:t>Voice</w:t>
            </w:r>
          </w:p>
        </w:tc>
        <w:tc>
          <w:tcPr>
            <w:tcW w:w="1003" w:type="dxa"/>
          </w:tcPr>
          <w:p w14:paraId="6295D416" w14:textId="77777777" w:rsidR="00535559" w:rsidRDefault="00535559" w:rsidP="00AE0C92">
            <w:pPr>
              <w:tabs>
                <w:tab w:val="num" w:pos="720"/>
              </w:tabs>
              <w:rPr>
                <w:lang w:eastAsia="ko-KR"/>
              </w:rPr>
            </w:pPr>
            <w:r>
              <w:rPr>
                <w:rFonts w:hint="eastAsia"/>
                <w:lang w:eastAsia="ko-KR"/>
              </w:rPr>
              <w:t>Data</w:t>
            </w:r>
          </w:p>
        </w:tc>
        <w:tc>
          <w:tcPr>
            <w:tcW w:w="840" w:type="dxa"/>
          </w:tcPr>
          <w:p w14:paraId="28F63885" w14:textId="77777777" w:rsidR="00535559" w:rsidRDefault="00535559" w:rsidP="00AE0C92">
            <w:pPr>
              <w:tabs>
                <w:tab w:val="num" w:pos="720"/>
              </w:tabs>
              <w:rPr>
                <w:lang w:eastAsia="ko-KR"/>
              </w:rPr>
            </w:pPr>
            <w:r>
              <w:rPr>
                <w:rFonts w:hint="eastAsia"/>
                <w:lang w:eastAsia="ko-KR"/>
              </w:rPr>
              <w:t>V</w:t>
            </w:r>
            <w:r>
              <w:rPr>
                <w:lang w:eastAsia="ko-KR"/>
              </w:rPr>
              <w:t>oice</w:t>
            </w:r>
          </w:p>
        </w:tc>
        <w:tc>
          <w:tcPr>
            <w:tcW w:w="900" w:type="dxa"/>
          </w:tcPr>
          <w:p w14:paraId="08E308B5" w14:textId="77777777" w:rsidR="00535559" w:rsidRDefault="00535559" w:rsidP="00AE0C92">
            <w:pPr>
              <w:tabs>
                <w:tab w:val="num" w:pos="720"/>
              </w:tabs>
              <w:rPr>
                <w:lang w:eastAsia="ko-KR"/>
              </w:rPr>
            </w:pPr>
            <w:r>
              <w:rPr>
                <w:rFonts w:hint="eastAsia"/>
                <w:lang w:eastAsia="ko-KR"/>
              </w:rPr>
              <w:t>Data</w:t>
            </w:r>
          </w:p>
        </w:tc>
        <w:tc>
          <w:tcPr>
            <w:tcW w:w="1359" w:type="dxa"/>
          </w:tcPr>
          <w:p w14:paraId="08D1B8B0" w14:textId="77777777" w:rsidR="00535559" w:rsidRDefault="00535559" w:rsidP="00AE0C92">
            <w:pPr>
              <w:tabs>
                <w:tab w:val="num" w:pos="720"/>
              </w:tabs>
              <w:rPr>
                <w:lang w:eastAsia="ko-KR"/>
              </w:rPr>
            </w:pPr>
            <w:r>
              <w:rPr>
                <w:rFonts w:hint="eastAsia"/>
                <w:lang w:eastAsia="ko-KR"/>
              </w:rPr>
              <w:t>Voice</w:t>
            </w:r>
          </w:p>
        </w:tc>
        <w:tc>
          <w:tcPr>
            <w:tcW w:w="1389" w:type="dxa"/>
          </w:tcPr>
          <w:p w14:paraId="70A6DC80" w14:textId="77777777" w:rsidR="00535559" w:rsidRDefault="00535559" w:rsidP="00AE0C92">
            <w:pPr>
              <w:tabs>
                <w:tab w:val="num" w:pos="720"/>
              </w:tabs>
              <w:rPr>
                <w:lang w:eastAsia="ko-KR"/>
              </w:rPr>
            </w:pPr>
            <w:r>
              <w:rPr>
                <w:rFonts w:hint="eastAsia"/>
                <w:lang w:eastAsia="ko-KR"/>
              </w:rPr>
              <w:t>Dat</w:t>
            </w:r>
            <w:r>
              <w:rPr>
                <w:lang w:eastAsia="ko-KR"/>
              </w:rPr>
              <w:t>a</w:t>
            </w:r>
          </w:p>
        </w:tc>
      </w:tr>
      <w:tr w:rsidR="00535559" w14:paraId="708D17FA" w14:textId="77777777" w:rsidTr="00AE0C92">
        <w:tc>
          <w:tcPr>
            <w:tcW w:w="1985" w:type="dxa"/>
          </w:tcPr>
          <w:p w14:paraId="020A54F0" w14:textId="77777777" w:rsidR="00535559" w:rsidRDefault="00535559" w:rsidP="00AE0C92">
            <w:pPr>
              <w:tabs>
                <w:tab w:val="num" w:pos="720"/>
              </w:tabs>
              <w:rPr>
                <w:lang w:eastAsia="ko-KR"/>
              </w:rPr>
            </w:pPr>
            <w:r>
              <w:rPr>
                <w:rFonts w:hint="eastAsia"/>
                <w:lang w:eastAsia="ko-KR"/>
              </w:rPr>
              <w:t>Dense</w:t>
            </w:r>
            <w:r>
              <w:rPr>
                <w:lang w:eastAsia="ko-KR"/>
              </w:rPr>
              <w:t xml:space="preserve"> urban</w:t>
            </w:r>
          </w:p>
        </w:tc>
        <w:tc>
          <w:tcPr>
            <w:tcW w:w="992" w:type="dxa"/>
          </w:tcPr>
          <w:p w14:paraId="61692C30" w14:textId="77777777" w:rsidR="00535559" w:rsidRDefault="00535559" w:rsidP="00AE0C92">
            <w:pPr>
              <w:tabs>
                <w:tab w:val="num" w:pos="720"/>
              </w:tabs>
            </w:pPr>
          </w:p>
        </w:tc>
        <w:tc>
          <w:tcPr>
            <w:tcW w:w="1003" w:type="dxa"/>
          </w:tcPr>
          <w:p w14:paraId="1AD125B4" w14:textId="77777777" w:rsidR="00535559" w:rsidRDefault="00535559" w:rsidP="00AE0C92">
            <w:pPr>
              <w:tabs>
                <w:tab w:val="num" w:pos="720"/>
              </w:tabs>
            </w:pPr>
          </w:p>
        </w:tc>
        <w:tc>
          <w:tcPr>
            <w:tcW w:w="840" w:type="dxa"/>
          </w:tcPr>
          <w:p w14:paraId="64A022F6" w14:textId="77777777" w:rsidR="00535559" w:rsidRDefault="00535559" w:rsidP="00AE0C92">
            <w:pPr>
              <w:tabs>
                <w:tab w:val="num" w:pos="720"/>
              </w:tabs>
            </w:pPr>
          </w:p>
        </w:tc>
        <w:tc>
          <w:tcPr>
            <w:tcW w:w="900" w:type="dxa"/>
          </w:tcPr>
          <w:p w14:paraId="6E6A1686" w14:textId="77777777" w:rsidR="00535559" w:rsidRDefault="00535559" w:rsidP="00AE0C92">
            <w:pPr>
              <w:tabs>
                <w:tab w:val="num" w:pos="720"/>
              </w:tabs>
            </w:pPr>
          </w:p>
        </w:tc>
        <w:tc>
          <w:tcPr>
            <w:tcW w:w="1359" w:type="dxa"/>
          </w:tcPr>
          <w:p w14:paraId="76EF06BE" w14:textId="77777777" w:rsidR="00535559" w:rsidRDefault="00535559" w:rsidP="00AE0C92">
            <w:pPr>
              <w:tabs>
                <w:tab w:val="num" w:pos="720"/>
              </w:tabs>
            </w:pPr>
          </w:p>
        </w:tc>
        <w:tc>
          <w:tcPr>
            <w:tcW w:w="1389" w:type="dxa"/>
          </w:tcPr>
          <w:p w14:paraId="4AE28ECC" w14:textId="77777777" w:rsidR="00535559" w:rsidRDefault="00535559" w:rsidP="00AE0C92">
            <w:pPr>
              <w:tabs>
                <w:tab w:val="num" w:pos="720"/>
              </w:tabs>
            </w:pPr>
          </w:p>
        </w:tc>
      </w:tr>
      <w:tr w:rsidR="00535559" w14:paraId="1487D220" w14:textId="77777777" w:rsidTr="00AE0C92">
        <w:tc>
          <w:tcPr>
            <w:tcW w:w="1985" w:type="dxa"/>
          </w:tcPr>
          <w:p w14:paraId="6FDDB2ED" w14:textId="77777777" w:rsidR="00535559" w:rsidRDefault="00535559" w:rsidP="00AE0C92">
            <w:pPr>
              <w:tabs>
                <w:tab w:val="num" w:pos="720"/>
              </w:tabs>
              <w:rPr>
                <w:lang w:eastAsia="ko-KR"/>
              </w:rPr>
            </w:pPr>
            <w:r>
              <w:rPr>
                <w:rFonts w:hint="eastAsia"/>
                <w:lang w:eastAsia="ko-KR"/>
              </w:rPr>
              <w:t>Urban</w:t>
            </w:r>
          </w:p>
        </w:tc>
        <w:tc>
          <w:tcPr>
            <w:tcW w:w="992" w:type="dxa"/>
          </w:tcPr>
          <w:p w14:paraId="27261786" w14:textId="77777777" w:rsidR="00535559" w:rsidRDefault="00535559" w:rsidP="00AE0C92">
            <w:pPr>
              <w:tabs>
                <w:tab w:val="num" w:pos="720"/>
              </w:tabs>
            </w:pPr>
          </w:p>
        </w:tc>
        <w:tc>
          <w:tcPr>
            <w:tcW w:w="1003" w:type="dxa"/>
          </w:tcPr>
          <w:p w14:paraId="7B613908" w14:textId="77777777" w:rsidR="00535559" w:rsidRDefault="00535559" w:rsidP="00AE0C92">
            <w:pPr>
              <w:tabs>
                <w:tab w:val="num" w:pos="720"/>
              </w:tabs>
            </w:pPr>
          </w:p>
        </w:tc>
        <w:tc>
          <w:tcPr>
            <w:tcW w:w="840" w:type="dxa"/>
          </w:tcPr>
          <w:p w14:paraId="5BD5E170" w14:textId="77777777" w:rsidR="00535559" w:rsidRDefault="00535559" w:rsidP="00AE0C92">
            <w:pPr>
              <w:tabs>
                <w:tab w:val="num" w:pos="720"/>
              </w:tabs>
            </w:pPr>
          </w:p>
        </w:tc>
        <w:tc>
          <w:tcPr>
            <w:tcW w:w="900" w:type="dxa"/>
          </w:tcPr>
          <w:p w14:paraId="37367781" w14:textId="77777777" w:rsidR="00535559" w:rsidRDefault="00535559" w:rsidP="00AE0C92">
            <w:pPr>
              <w:tabs>
                <w:tab w:val="num" w:pos="720"/>
              </w:tabs>
            </w:pPr>
          </w:p>
        </w:tc>
        <w:tc>
          <w:tcPr>
            <w:tcW w:w="1359" w:type="dxa"/>
          </w:tcPr>
          <w:p w14:paraId="3F936655" w14:textId="77777777" w:rsidR="00535559" w:rsidRDefault="00535559" w:rsidP="00AE0C92">
            <w:pPr>
              <w:tabs>
                <w:tab w:val="num" w:pos="720"/>
              </w:tabs>
            </w:pPr>
          </w:p>
        </w:tc>
        <w:tc>
          <w:tcPr>
            <w:tcW w:w="1389" w:type="dxa"/>
          </w:tcPr>
          <w:p w14:paraId="14C995E3" w14:textId="77777777" w:rsidR="00535559" w:rsidRDefault="00535559" w:rsidP="00AE0C92">
            <w:pPr>
              <w:tabs>
                <w:tab w:val="num" w:pos="720"/>
              </w:tabs>
            </w:pPr>
          </w:p>
        </w:tc>
      </w:tr>
      <w:tr w:rsidR="00535559" w14:paraId="6848DC63" w14:textId="77777777" w:rsidTr="00AE0C92">
        <w:tc>
          <w:tcPr>
            <w:tcW w:w="1985" w:type="dxa"/>
          </w:tcPr>
          <w:p w14:paraId="3994D2FE" w14:textId="77777777" w:rsidR="00535559" w:rsidRDefault="00535559" w:rsidP="00AE0C92">
            <w:pPr>
              <w:tabs>
                <w:tab w:val="num" w:pos="720"/>
              </w:tabs>
              <w:rPr>
                <w:lang w:eastAsia="ko-KR"/>
              </w:rPr>
            </w:pPr>
            <w:r>
              <w:rPr>
                <w:rFonts w:hint="eastAsia"/>
                <w:lang w:eastAsia="ko-KR"/>
              </w:rPr>
              <w:t>Sub-ur</w:t>
            </w:r>
            <w:r>
              <w:rPr>
                <w:lang w:eastAsia="ko-KR"/>
              </w:rPr>
              <w:t>ban</w:t>
            </w:r>
          </w:p>
        </w:tc>
        <w:tc>
          <w:tcPr>
            <w:tcW w:w="992" w:type="dxa"/>
          </w:tcPr>
          <w:p w14:paraId="1D6F2B0C" w14:textId="77777777" w:rsidR="00535559" w:rsidRDefault="00535559" w:rsidP="00AE0C92">
            <w:pPr>
              <w:tabs>
                <w:tab w:val="num" w:pos="720"/>
              </w:tabs>
            </w:pPr>
          </w:p>
        </w:tc>
        <w:tc>
          <w:tcPr>
            <w:tcW w:w="1003" w:type="dxa"/>
          </w:tcPr>
          <w:p w14:paraId="4CD33DDB" w14:textId="77777777" w:rsidR="00535559" w:rsidRDefault="00535559" w:rsidP="00AE0C92">
            <w:pPr>
              <w:tabs>
                <w:tab w:val="num" w:pos="720"/>
              </w:tabs>
            </w:pPr>
          </w:p>
        </w:tc>
        <w:tc>
          <w:tcPr>
            <w:tcW w:w="840" w:type="dxa"/>
          </w:tcPr>
          <w:p w14:paraId="5EF8D3DF" w14:textId="77777777" w:rsidR="00535559" w:rsidRDefault="00535559" w:rsidP="00AE0C92">
            <w:pPr>
              <w:tabs>
                <w:tab w:val="num" w:pos="720"/>
              </w:tabs>
            </w:pPr>
          </w:p>
        </w:tc>
        <w:tc>
          <w:tcPr>
            <w:tcW w:w="900" w:type="dxa"/>
          </w:tcPr>
          <w:p w14:paraId="0AE4FFA3" w14:textId="77777777" w:rsidR="00535559" w:rsidRDefault="00535559" w:rsidP="00AE0C92">
            <w:pPr>
              <w:tabs>
                <w:tab w:val="num" w:pos="720"/>
              </w:tabs>
            </w:pPr>
          </w:p>
        </w:tc>
        <w:tc>
          <w:tcPr>
            <w:tcW w:w="1359" w:type="dxa"/>
          </w:tcPr>
          <w:p w14:paraId="0E2FB9BA" w14:textId="77777777" w:rsidR="00535559" w:rsidRDefault="00535559" w:rsidP="00AE0C92">
            <w:pPr>
              <w:tabs>
                <w:tab w:val="num" w:pos="720"/>
              </w:tabs>
            </w:pPr>
          </w:p>
        </w:tc>
        <w:tc>
          <w:tcPr>
            <w:tcW w:w="1389" w:type="dxa"/>
          </w:tcPr>
          <w:p w14:paraId="57F4E02C" w14:textId="77777777" w:rsidR="00535559" w:rsidRDefault="00535559" w:rsidP="00AE0C92">
            <w:pPr>
              <w:tabs>
                <w:tab w:val="num" w:pos="720"/>
              </w:tabs>
            </w:pPr>
          </w:p>
        </w:tc>
      </w:tr>
      <w:tr w:rsidR="00535559" w14:paraId="5F6C136F" w14:textId="77777777" w:rsidTr="00AE0C92">
        <w:tc>
          <w:tcPr>
            <w:tcW w:w="1985" w:type="dxa"/>
          </w:tcPr>
          <w:p w14:paraId="4E3BAB17" w14:textId="77777777" w:rsidR="00535559" w:rsidRDefault="00535559" w:rsidP="00AE0C92">
            <w:pPr>
              <w:tabs>
                <w:tab w:val="num" w:pos="720"/>
              </w:tabs>
              <w:rPr>
                <w:lang w:eastAsia="ko-KR"/>
              </w:rPr>
            </w:pPr>
            <w:r>
              <w:rPr>
                <w:rFonts w:hint="eastAsia"/>
                <w:lang w:eastAsia="ko-KR"/>
              </w:rPr>
              <w:t>Rural</w:t>
            </w:r>
          </w:p>
        </w:tc>
        <w:tc>
          <w:tcPr>
            <w:tcW w:w="992" w:type="dxa"/>
          </w:tcPr>
          <w:p w14:paraId="621F6520" w14:textId="77777777" w:rsidR="00535559" w:rsidRDefault="00535559" w:rsidP="00AE0C92">
            <w:pPr>
              <w:tabs>
                <w:tab w:val="num" w:pos="720"/>
              </w:tabs>
            </w:pPr>
          </w:p>
        </w:tc>
        <w:tc>
          <w:tcPr>
            <w:tcW w:w="1003" w:type="dxa"/>
          </w:tcPr>
          <w:p w14:paraId="6977594F" w14:textId="77777777" w:rsidR="00535559" w:rsidRDefault="00535559" w:rsidP="00AE0C92">
            <w:pPr>
              <w:tabs>
                <w:tab w:val="num" w:pos="720"/>
              </w:tabs>
            </w:pPr>
          </w:p>
        </w:tc>
        <w:tc>
          <w:tcPr>
            <w:tcW w:w="840" w:type="dxa"/>
          </w:tcPr>
          <w:p w14:paraId="22AA1FFD" w14:textId="77777777" w:rsidR="00535559" w:rsidRDefault="00535559" w:rsidP="00AE0C92">
            <w:pPr>
              <w:tabs>
                <w:tab w:val="num" w:pos="720"/>
              </w:tabs>
            </w:pPr>
          </w:p>
        </w:tc>
        <w:tc>
          <w:tcPr>
            <w:tcW w:w="900" w:type="dxa"/>
          </w:tcPr>
          <w:p w14:paraId="739A0326" w14:textId="77777777" w:rsidR="00535559" w:rsidRDefault="00535559" w:rsidP="00AE0C92">
            <w:pPr>
              <w:tabs>
                <w:tab w:val="num" w:pos="720"/>
              </w:tabs>
            </w:pPr>
          </w:p>
        </w:tc>
        <w:tc>
          <w:tcPr>
            <w:tcW w:w="1359" w:type="dxa"/>
          </w:tcPr>
          <w:p w14:paraId="7677CBA0" w14:textId="77777777" w:rsidR="00535559" w:rsidRDefault="00535559" w:rsidP="00AE0C92">
            <w:pPr>
              <w:tabs>
                <w:tab w:val="num" w:pos="720"/>
              </w:tabs>
            </w:pPr>
          </w:p>
        </w:tc>
        <w:tc>
          <w:tcPr>
            <w:tcW w:w="1389" w:type="dxa"/>
          </w:tcPr>
          <w:p w14:paraId="6CCBBF05" w14:textId="77777777" w:rsidR="00535559" w:rsidRDefault="00535559" w:rsidP="00AE0C92">
            <w:pPr>
              <w:tabs>
                <w:tab w:val="num" w:pos="720"/>
              </w:tabs>
            </w:pPr>
          </w:p>
        </w:tc>
      </w:tr>
    </w:tbl>
    <w:p w14:paraId="50326376" w14:textId="77777777" w:rsidR="00535559" w:rsidRPr="009B0EA0" w:rsidRDefault="00535559" w:rsidP="00535559">
      <w:pPr>
        <w:tabs>
          <w:tab w:val="num" w:pos="720"/>
        </w:tabs>
        <w:rPr>
          <w:sz w:val="2"/>
        </w:rPr>
      </w:pPr>
    </w:p>
    <w:p w14:paraId="381E936A" w14:textId="77777777" w:rsidR="00535559" w:rsidRDefault="00535559" w:rsidP="00535559">
      <w:pPr>
        <w:widowControl w:val="0"/>
        <w:wordWrap w:val="0"/>
        <w:autoSpaceDE w:val="0"/>
        <w:autoSpaceDN w:val="0"/>
        <w:spacing w:after="160" w:line="259" w:lineRule="auto"/>
        <w:ind w:left="600" w:hangingChars="250" w:hanging="600"/>
        <w:rPr>
          <w:rFonts w:eastAsia="Malgun Gothic"/>
          <w:kern w:val="2"/>
          <w:lang w:eastAsia="ko-KR"/>
        </w:rPr>
      </w:pPr>
      <w:r>
        <w:rPr>
          <w:rFonts w:eastAsia="Malgun Gothic"/>
          <w:kern w:val="2"/>
          <w:lang w:eastAsia="ko-KR"/>
        </w:rPr>
        <w:t>Q10. Cost per BTS site</w:t>
      </w:r>
    </w:p>
    <w:p w14:paraId="080A126B" w14:textId="77777777" w:rsidR="00535559" w:rsidRDefault="00535559" w:rsidP="00535559">
      <w:pPr>
        <w:pStyle w:val="ListParagraph"/>
        <w:widowControl w:val="0"/>
        <w:numPr>
          <w:ilvl w:val="0"/>
          <w:numId w:val="8"/>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Capital expenditure for the BTS equipment in US$.</w:t>
      </w:r>
    </w:p>
    <w:p w14:paraId="05713C3C" w14:textId="77777777" w:rsidR="00535559" w:rsidRDefault="00535559" w:rsidP="00535559">
      <w:pPr>
        <w:pStyle w:val="ListParagraph"/>
        <w:widowControl w:val="0"/>
        <w:numPr>
          <w:ilvl w:val="0"/>
          <w:numId w:val="9"/>
        </w:numPr>
        <w:wordWrap w:val="0"/>
        <w:autoSpaceDE w:val="0"/>
        <w:autoSpaceDN w:val="0"/>
        <w:spacing w:after="160" w:line="259" w:lineRule="auto"/>
        <w:contextualSpacing/>
        <w:jc w:val="both"/>
        <w:rPr>
          <w:rFonts w:eastAsia="Malgun Gothic"/>
          <w:kern w:val="2"/>
          <w:lang w:eastAsia="ko-KR"/>
        </w:rPr>
      </w:pPr>
      <w:r>
        <w:rPr>
          <w:rFonts w:eastAsia="Malgun Gothic" w:hint="eastAsia"/>
          <w:kern w:val="2"/>
          <w:lang w:eastAsia="ko-KR"/>
        </w:rPr>
        <w:t>700 MHz</w:t>
      </w:r>
    </w:p>
    <w:p w14:paraId="64208776" w14:textId="77777777" w:rsidR="00535559" w:rsidRDefault="00535559" w:rsidP="00535559">
      <w:pPr>
        <w:pStyle w:val="ListParagraph"/>
        <w:widowControl w:val="0"/>
        <w:numPr>
          <w:ilvl w:val="0"/>
          <w:numId w:val="9"/>
        </w:numPr>
        <w:wordWrap w:val="0"/>
        <w:autoSpaceDE w:val="0"/>
        <w:autoSpaceDN w:val="0"/>
        <w:spacing w:after="160" w:line="259" w:lineRule="auto"/>
        <w:contextualSpacing/>
        <w:jc w:val="both"/>
        <w:rPr>
          <w:rFonts w:eastAsia="Malgun Gothic"/>
          <w:kern w:val="2"/>
          <w:lang w:eastAsia="ko-KR"/>
        </w:rPr>
      </w:pPr>
      <w:r>
        <w:rPr>
          <w:rFonts w:eastAsia="Malgun Gothic" w:hint="eastAsia"/>
          <w:kern w:val="2"/>
          <w:lang w:eastAsia="ko-KR"/>
        </w:rPr>
        <w:t>800 MHz</w:t>
      </w:r>
    </w:p>
    <w:p w14:paraId="4EF9A683" w14:textId="77777777" w:rsidR="00535559" w:rsidRDefault="00535559" w:rsidP="00535559">
      <w:pPr>
        <w:pStyle w:val="ListParagraph"/>
        <w:widowControl w:val="0"/>
        <w:numPr>
          <w:ilvl w:val="0"/>
          <w:numId w:val="9"/>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900 MHz</w:t>
      </w:r>
    </w:p>
    <w:p w14:paraId="5A75D7F7" w14:textId="77777777" w:rsidR="00535559" w:rsidRDefault="00535559" w:rsidP="00535559">
      <w:pPr>
        <w:pStyle w:val="ListParagraph"/>
        <w:widowControl w:val="0"/>
        <w:numPr>
          <w:ilvl w:val="0"/>
          <w:numId w:val="9"/>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1800 MHz</w:t>
      </w:r>
    </w:p>
    <w:p w14:paraId="75EAF98A" w14:textId="77777777" w:rsidR="00535559" w:rsidRDefault="00535559" w:rsidP="00535559">
      <w:pPr>
        <w:pStyle w:val="ListParagraph"/>
        <w:widowControl w:val="0"/>
        <w:numPr>
          <w:ilvl w:val="0"/>
          <w:numId w:val="9"/>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2100 MHz</w:t>
      </w:r>
    </w:p>
    <w:p w14:paraId="52742907" w14:textId="77777777" w:rsidR="00535559" w:rsidRDefault="00535559" w:rsidP="00535559">
      <w:pPr>
        <w:pStyle w:val="ListParagraph"/>
        <w:widowControl w:val="0"/>
        <w:numPr>
          <w:ilvl w:val="0"/>
          <w:numId w:val="9"/>
        </w:numPr>
        <w:wordWrap w:val="0"/>
        <w:autoSpaceDE w:val="0"/>
        <w:autoSpaceDN w:val="0"/>
        <w:spacing w:after="160" w:line="259" w:lineRule="auto"/>
        <w:contextualSpacing/>
        <w:jc w:val="both"/>
        <w:rPr>
          <w:rFonts w:eastAsia="Malgun Gothic"/>
          <w:kern w:val="2"/>
          <w:lang w:eastAsia="ko-KR"/>
        </w:rPr>
      </w:pPr>
      <w:r>
        <w:rPr>
          <w:rFonts w:eastAsia="Malgun Gothic" w:hint="eastAsia"/>
          <w:kern w:val="2"/>
          <w:lang w:eastAsia="ko-KR"/>
        </w:rPr>
        <w:t>2.5 GHz</w:t>
      </w:r>
    </w:p>
    <w:p w14:paraId="4D56E229" w14:textId="77777777" w:rsidR="00535559" w:rsidRDefault="00535559" w:rsidP="00535559">
      <w:pPr>
        <w:pStyle w:val="ListParagraph"/>
        <w:widowControl w:val="0"/>
        <w:numPr>
          <w:ilvl w:val="0"/>
          <w:numId w:val="8"/>
        </w:numPr>
        <w:wordWrap w:val="0"/>
        <w:autoSpaceDE w:val="0"/>
        <w:autoSpaceDN w:val="0"/>
        <w:spacing w:after="160" w:line="259" w:lineRule="auto"/>
        <w:contextualSpacing/>
        <w:jc w:val="both"/>
        <w:rPr>
          <w:rFonts w:eastAsia="Malgun Gothic"/>
          <w:kern w:val="2"/>
          <w:lang w:eastAsia="ko-KR"/>
        </w:rPr>
      </w:pPr>
      <w:r>
        <w:rPr>
          <w:rFonts w:eastAsia="Malgun Gothic" w:hint="eastAsia"/>
          <w:kern w:val="2"/>
          <w:lang w:eastAsia="ko-KR"/>
        </w:rPr>
        <w:t>Cost per year per BTS site for electricity, rental and maintenance.</w:t>
      </w:r>
    </w:p>
    <w:p w14:paraId="192F18F6" w14:textId="77777777" w:rsidR="00535559" w:rsidRDefault="00535559" w:rsidP="00535559">
      <w:pPr>
        <w:pStyle w:val="ListParagraph"/>
        <w:widowControl w:val="0"/>
        <w:numPr>
          <w:ilvl w:val="0"/>
          <w:numId w:val="8"/>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Total cost for the radio equipment per BTS site (because more than one BTS equipment is installed per site such as single band, dual band, 3G, 4G etc.)</w:t>
      </w:r>
    </w:p>
    <w:p w14:paraId="3EDD5595" w14:textId="77777777" w:rsidR="00535559" w:rsidRDefault="00535559" w:rsidP="00535559">
      <w:pPr>
        <w:pStyle w:val="ListParagraph"/>
        <w:widowControl w:val="0"/>
        <w:numPr>
          <w:ilvl w:val="0"/>
          <w:numId w:val="8"/>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Total cost for the civil construction for Greenfield site and roof top site (tower, masts, building etc.)</w:t>
      </w:r>
    </w:p>
    <w:p w14:paraId="4C290228" w14:textId="77777777" w:rsidR="00535559" w:rsidRDefault="00535559" w:rsidP="00535559">
      <w:pPr>
        <w:pStyle w:val="ListParagraph"/>
        <w:widowControl w:val="0"/>
        <w:numPr>
          <w:ilvl w:val="0"/>
          <w:numId w:val="8"/>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Amortized capex per BTS site for the radio equipment</w:t>
      </w:r>
    </w:p>
    <w:p w14:paraId="5C4487E1" w14:textId="77777777" w:rsidR="00535559" w:rsidRDefault="00535559" w:rsidP="00535559">
      <w:pPr>
        <w:pStyle w:val="ListParagraph"/>
        <w:widowControl w:val="0"/>
        <w:numPr>
          <w:ilvl w:val="0"/>
          <w:numId w:val="8"/>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Life time for the radio equipment and civil construction</w:t>
      </w:r>
    </w:p>
    <w:p w14:paraId="4C1DAA4A" w14:textId="77777777" w:rsidR="00535559" w:rsidRDefault="00535559" w:rsidP="00535559">
      <w:pPr>
        <w:pStyle w:val="ListParagraph"/>
        <w:widowControl w:val="0"/>
        <w:numPr>
          <w:ilvl w:val="0"/>
          <w:numId w:val="8"/>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Rate of interest for estimating the amortized capex</w:t>
      </w:r>
    </w:p>
    <w:p w14:paraId="291AB3C6" w14:textId="77777777" w:rsidR="00535559" w:rsidRDefault="00535559" w:rsidP="00535559">
      <w:pPr>
        <w:pStyle w:val="ListParagraph"/>
        <w:widowControl w:val="0"/>
        <w:numPr>
          <w:ilvl w:val="0"/>
          <w:numId w:val="8"/>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Cost per BTS for converting from 2G to 3G and 4G network (In case of technology neutrality)</w:t>
      </w:r>
    </w:p>
    <w:p w14:paraId="006F7313" w14:textId="77777777" w:rsidR="00535559" w:rsidRPr="00632292" w:rsidRDefault="00535559" w:rsidP="00535559">
      <w:pPr>
        <w:pStyle w:val="ListParagraph"/>
        <w:widowControl w:val="0"/>
        <w:numPr>
          <w:ilvl w:val="0"/>
          <w:numId w:val="8"/>
        </w:numPr>
        <w:wordWrap w:val="0"/>
        <w:autoSpaceDE w:val="0"/>
        <w:autoSpaceDN w:val="0"/>
        <w:spacing w:after="160" w:line="259" w:lineRule="auto"/>
        <w:contextualSpacing/>
        <w:jc w:val="both"/>
        <w:rPr>
          <w:rFonts w:eastAsia="Malgun Gothic"/>
          <w:kern w:val="2"/>
          <w:lang w:eastAsia="ko-KR"/>
        </w:rPr>
      </w:pPr>
      <w:r>
        <w:rPr>
          <w:rFonts w:eastAsia="Malgun Gothic"/>
          <w:kern w:val="2"/>
          <w:lang w:eastAsia="ko-KR"/>
        </w:rPr>
        <w:t>Additional cost for the carrier aggregation technology in case of 4G network.</w:t>
      </w:r>
    </w:p>
    <w:p w14:paraId="4E9E3F99" w14:textId="77777777" w:rsidR="00535559" w:rsidRDefault="00535559" w:rsidP="00535559">
      <w:pPr>
        <w:tabs>
          <w:tab w:val="num" w:pos="720"/>
        </w:tabs>
        <w:rPr>
          <w:lang w:eastAsia="ko-KR"/>
        </w:rPr>
      </w:pPr>
      <w:r>
        <w:rPr>
          <w:rFonts w:hint="eastAsia"/>
          <w:lang w:eastAsia="ko-KR"/>
        </w:rPr>
        <w:t>Q1</w:t>
      </w:r>
      <w:r>
        <w:rPr>
          <w:lang w:eastAsia="ko-KR"/>
        </w:rPr>
        <w:t>1.  Status of the spectrum bands identified for IMT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39"/>
        <w:gridCol w:w="1069"/>
        <w:gridCol w:w="1067"/>
        <w:gridCol w:w="1417"/>
        <w:gridCol w:w="1076"/>
        <w:gridCol w:w="895"/>
        <w:gridCol w:w="1026"/>
        <w:gridCol w:w="1605"/>
        <w:gridCol w:w="6"/>
      </w:tblGrid>
      <w:tr w:rsidR="00535559" w:rsidRPr="009F1571" w14:paraId="7B222F58" w14:textId="77777777" w:rsidTr="00AE0C92">
        <w:trPr>
          <w:trHeight w:val="884"/>
          <w:jc w:val="center"/>
        </w:trPr>
        <w:tc>
          <w:tcPr>
            <w:tcW w:w="1101" w:type="dxa"/>
          </w:tcPr>
          <w:p w14:paraId="27FAA40E" w14:textId="77777777" w:rsidR="00535559" w:rsidRPr="009F1571" w:rsidRDefault="00535559" w:rsidP="00AE0C92">
            <w:pPr>
              <w:jc w:val="center"/>
              <w:rPr>
                <w:rFonts w:eastAsia="SimSun"/>
                <w:sz w:val="18"/>
                <w:szCs w:val="18"/>
                <w:lang w:eastAsia="zh-CN"/>
              </w:rPr>
            </w:pPr>
            <w:r w:rsidRPr="009F1571">
              <w:rPr>
                <w:rFonts w:eastAsia="SimSun"/>
                <w:sz w:val="18"/>
                <w:szCs w:val="18"/>
                <w:lang w:eastAsia="zh-CN"/>
              </w:rPr>
              <w:lastRenderedPageBreak/>
              <w:t xml:space="preserve">Spectrum </w:t>
            </w:r>
          </w:p>
          <w:p w14:paraId="5574795D" w14:textId="77777777" w:rsidR="00535559" w:rsidRPr="009F1571" w:rsidRDefault="00535559" w:rsidP="00AE0C92">
            <w:pPr>
              <w:jc w:val="center"/>
              <w:rPr>
                <w:rFonts w:eastAsia="SimSun"/>
                <w:sz w:val="18"/>
                <w:szCs w:val="18"/>
                <w:lang w:eastAsia="zh-CN"/>
              </w:rPr>
            </w:pPr>
            <w:r w:rsidRPr="009F1571">
              <w:rPr>
                <w:rFonts w:eastAsia="SimSun"/>
                <w:sz w:val="18"/>
                <w:szCs w:val="18"/>
                <w:lang w:eastAsia="zh-CN"/>
              </w:rPr>
              <w:t>band</w:t>
            </w:r>
          </w:p>
          <w:p w14:paraId="7060BB2D" w14:textId="77777777" w:rsidR="00535559" w:rsidRPr="009F1571" w:rsidRDefault="00535559" w:rsidP="00AE0C92">
            <w:pPr>
              <w:jc w:val="center"/>
              <w:rPr>
                <w:rFonts w:eastAsia="SimSun"/>
                <w:sz w:val="18"/>
                <w:szCs w:val="18"/>
                <w:lang w:eastAsia="zh-CN"/>
              </w:rPr>
            </w:pPr>
            <w:r w:rsidRPr="009F1571">
              <w:rPr>
                <w:rFonts w:eastAsia="SimSun"/>
                <w:sz w:val="18"/>
                <w:szCs w:val="18"/>
                <w:lang w:eastAsia="zh-CN"/>
              </w:rPr>
              <w:t>in MHz</w:t>
            </w:r>
          </w:p>
        </w:tc>
        <w:tc>
          <w:tcPr>
            <w:tcW w:w="939" w:type="dxa"/>
          </w:tcPr>
          <w:p w14:paraId="49F997BF" w14:textId="77777777" w:rsidR="00535559" w:rsidRPr="009F1571" w:rsidRDefault="00535559" w:rsidP="00AE0C92">
            <w:pPr>
              <w:spacing w:after="100" w:afterAutospacing="1"/>
              <w:jc w:val="center"/>
              <w:rPr>
                <w:rFonts w:eastAsia="SimSun"/>
                <w:sz w:val="18"/>
                <w:szCs w:val="18"/>
                <w:lang w:eastAsia="zh-CN"/>
              </w:rPr>
            </w:pPr>
            <w:r w:rsidRPr="009F1571">
              <w:rPr>
                <w:rFonts w:eastAsia="SimSun"/>
                <w:sz w:val="18"/>
                <w:szCs w:val="18"/>
                <w:lang w:eastAsia="zh-CN"/>
              </w:rPr>
              <w:t>Spectrum assigned to the operators in MHz</w:t>
            </w:r>
          </w:p>
        </w:tc>
        <w:tc>
          <w:tcPr>
            <w:tcW w:w="1069" w:type="dxa"/>
          </w:tcPr>
          <w:p w14:paraId="073F5188" w14:textId="77777777" w:rsidR="00535559" w:rsidRPr="009F1571" w:rsidRDefault="00535559" w:rsidP="00AE0C92">
            <w:pPr>
              <w:spacing w:after="100" w:afterAutospacing="1"/>
              <w:jc w:val="center"/>
              <w:rPr>
                <w:sz w:val="18"/>
                <w:szCs w:val="18"/>
                <w:lang w:eastAsia="ko-KR"/>
              </w:rPr>
            </w:pPr>
            <w:r>
              <w:rPr>
                <w:rFonts w:hint="eastAsia"/>
                <w:sz w:val="18"/>
                <w:szCs w:val="18"/>
                <w:lang w:eastAsia="ko-KR"/>
              </w:rPr>
              <w:t>Date o</w:t>
            </w:r>
            <w:r>
              <w:rPr>
                <w:sz w:val="18"/>
                <w:szCs w:val="18"/>
                <w:lang w:eastAsia="ko-KR"/>
              </w:rPr>
              <w:t>f assignment</w:t>
            </w:r>
          </w:p>
        </w:tc>
        <w:tc>
          <w:tcPr>
            <w:tcW w:w="1067" w:type="dxa"/>
          </w:tcPr>
          <w:p w14:paraId="23278B66" w14:textId="77777777" w:rsidR="00535559" w:rsidRPr="009F1571" w:rsidRDefault="00535559" w:rsidP="00AE0C92">
            <w:pPr>
              <w:jc w:val="center"/>
              <w:rPr>
                <w:sz w:val="18"/>
                <w:szCs w:val="18"/>
                <w:lang w:eastAsia="ko-KR"/>
              </w:rPr>
            </w:pPr>
            <w:r w:rsidRPr="009F1571">
              <w:rPr>
                <w:sz w:val="18"/>
                <w:szCs w:val="18"/>
                <w:lang w:eastAsia="ko-KR"/>
              </w:rPr>
              <w:t>Acquisition fee per MHz in US$ or LCU</w:t>
            </w:r>
          </w:p>
        </w:tc>
        <w:tc>
          <w:tcPr>
            <w:tcW w:w="1417" w:type="dxa"/>
          </w:tcPr>
          <w:p w14:paraId="3F1B9C59" w14:textId="77777777" w:rsidR="00535559" w:rsidRPr="009F1571" w:rsidRDefault="00535559" w:rsidP="00AE0C92">
            <w:pPr>
              <w:jc w:val="center"/>
              <w:rPr>
                <w:sz w:val="18"/>
                <w:szCs w:val="18"/>
                <w:lang w:eastAsia="ko-KR"/>
              </w:rPr>
            </w:pPr>
            <w:r w:rsidRPr="009F1571">
              <w:rPr>
                <w:sz w:val="18"/>
                <w:szCs w:val="18"/>
                <w:lang w:eastAsia="ko-KR"/>
              </w:rPr>
              <w:t>Spectrum assignment procedure</w:t>
            </w:r>
          </w:p>
          <w:p w14:paraId="2149E970" w14:textId="77777777" w:rsidR="00535559" w:rsidRPr="009F1571" w:rsidRDefault="00535559" w:rsidP="00AE0C92">
            <w:pPr>
              <w:spacing w:after="100" w:afterAutospacing="1"/>
              <w:jc w:val="center"/>
              <w:rPr>
                <w:sz w:val="18"/>
                <w:szCs w:val="18"/>
                <w:lang w:eastAsia="ko-KR"/>
              </w:rPr>
            </w:pPr>
            <w:r w:rsidRPr="009F1571">
              <w:rPr>
                <w:sz w:val="18"/>
                <w:szCs w:val="18"/>
                <w:lang w:eastAsia="ko-KR"/>
              </w:rPr>
              <w:t>(Auction/Beauty contest etc.)</w:t>
            </w:r>
          </w:p>
        </w:tc>
        <w:tc>
          <w:tcPr>
            <w:tcW w:w="1076" w:type="dxa"/>
          </w:tcPr>
          <w:p w14:paraId="2B8D1EC4" w14:textId="77777777" w:rsidR="00535559" w:rsidRPr="009F1571" w:rsidRDefault="00535559" w:rsidP="00AE0C92">
            <w:pPr>
              <w:spacing w:after="100" w:afterAutospacing="1"/>
              <w:rPr>
                <w:rFonts w:eastAsia="SimSun"/>
                <w:sz w:val="18"/>
                <w:szCs w:val="18"/>
                <w:lang w:eastAsia="zh-CN"/>
              </w:rPr>
            </w:pPr>
            <w:r w:rsidRPr="009F1571">
              <w:rPr>
                <w:rFonts w:eastAsia="SimSun"/>
                <w:sz w:val="18"/>
                <w:szCs w:val="18"/>
                <w:lang w:eastAsia="zh-CN"/>
              </w:rPr>
              <w:t>Technology used</w:t>
            </w:r>
          </w:p>
        </w:tc>
        <w:tc>
          <w:tcPr>
            <w:tcW w:w="895" w:type="dxa"/>
          </w:tcPr>
          <w:p w14:paraId="5FE21E11" w14:textId="77777777" w:rsidR="00535559" w:rsidRPr="009F1571" w:rsidRDefault="00535559" w:rsidP="00AE0C92">
            <w:pPr>
              <w:spacing w:after="100" w:afterAutospacing="1"/>
              <w:rPr>
                <w:rFonts w:eastAsia="SimSun"/>
                <w:sz w:val="18"/>
                <w:szCs w:val="18"/>
                <w:lang w:eastAsia="zh-CN"/>
              </w:rPr>
            </w:pPr>
            <w:r w:rsidRPr="009F1571">
              <w:rPr>
                <w:sz w:val="18"/>
                <w:szCs w:val="18"/>
                <w:lang w:eastAsia="ko-KR"/>
              </w:rPr>
              <w:t>Amount of unused spectrum</w:t>
            </w:r>
          </w:p>
        </w:tc>
        <w:tc>
          <w:tcPr>
            <w:tcW w:w="1026" w:type="dxa"/>
          </w:tcPr>
          <w:p w14:paraId="00A85C5A" w14:textId="77777777" w:rsidR="00535559" w:rsidRPr="00150377" w:rsidRDefault="00535559" w:rsidP="00AE0C92">
            <w:pPr>
              <w:rPr>
                <w:sz w:val="18"/>
                <w:szCs w:val="18"/>
                <w:lang w:eastAsia="ko-KR"/>
              </w:rPr>
            </w:pPr>
            <w:r>
              <w:rPr>
                <w:rFonts w:hint="eastAsia"/>
                <w:sz w:val="18"/>
                <w:szCs w:val="18"/>
                <w:lang w:eastAsia="ko-KR"/>
              </w:rPr>
              <w:t>Expected date of launching 4G</w:t>
            </w:r>
            <w:r>
              <w:rPr>
                <w:sz w:val="18"/>
                <w:szCs w:val="18"/>
                <w:lang w:eastAsia="ko-KR"/>
              </w:rPr>
              <w:t>,</w:t>
            </w:r>
            <w:r>
              <w:rPr>
                <w:rFonts w:hint="eastAsia"/>
                <w:sz w:val="18"/>
                <w:szCs w:val="18"/>
                <w:lang w:eastAsia="ko-KR"/>
              </w:rPr>
              <w:t xml:space="preserve"> if it is not yet deployed</w:t>
            </w:r>
          </w:p>
        </w:tc>
        <w:tc>
          <w:tcPr>
            <w:tcW w:w="1611" w:type="dxa"/>
            <w:gridSpan w:val="2"/>
          </w:tcPr>
          <w:p w14:paraId="55EBAAEE" w14:textId="77777777" w:rsidR="00535559" w:rsidRPr="009F1571" w:rsidRDefault="00535559" w:rsidP="00AE0C92">
            <w:pPr>
              <w:jc w:val="center"/>
              <w:rPr>
                <w:sz w:val="18"/>
                <w:szCs w:val="18"/>
                <w:lang w:eastAsia="ko-KR"/>
              </w:rPr>
            </w:pPr>
            <w:r w:rsidRPr="009F1571">
              <w:rPr>
                <w:sz w:val="18"/>
                <w:szCs w:val="18"/>
                <w:lang w:eastAsia="ko-KR"/>
              </w:rPr>
              <w:t xml:space="preserve">Expected time frame for </w:t>
            </w:r>
            <w:r>
              <w:rPr>
                <w:sz w:val="18"/>
                <w:szCs w:val="18"/>
                <w:lang w:eastAsia="ko-KR"/>
              </w:rPr>
              <w:t xml:space="preserve">the </w:t>
            </w:r>
            <w:r w:rsidRPr="009F1571">
              <w:rPr>
                <w:sz w:val="18"/>
                <w:szCs w:val="18"/>
                <w:lang w:eastAsia="ko-KR"/>
              </w:rPr>
              <w:t>assignment</w:t>
            </w:r>
            <w:r>
              <w:rPr>
                <w:sz w:val="18"/>
                <w:szCs w:val="18"/>
                <w:lang w:eastAsia="ko-KR"/>
              </w:rPr>
              <w:t xml:space="preserve"> of unused spectrum</w:t>
            </w:r>
          </w:p>
          <w:p w14:paraId="4D095C2E" w14:textId="77777777" w:rsidR="00535559" w:rsidRPr="009F1571" w:rsidRDefault="00535559" w:rsidP="00AE0C92">
            <w:pPr>
              <w:jc w:val="center"/>
              <w:rPr>
                <w:rFonts w:eastAsia="SimSun"/>
                <w:sz w:val="18"/>
                <w:szCs w:val="18"/>
                <w:lang w:eastAsia="zh-CN"/>
              </w:rPr>
            </w:pPr>
          </w:p>
        </w:tc>
      </w:tr>
      <w:tr w:rsidR="00535559" w:rsidRPr="009F1571" w14:paraId="20B8E491" w14:textId="77777777" w:rsidTr="00AE0C92">
        <w:trPr>
          <w:gridAfter w:val="1"/>
          <w:wAfter w:w="6" w:type="dxa"/>
          <w:trHeight w:val="257"/>
          <w:jc w:val="center"/>
        </w:trPr>
        <w:tc>
          <w:tcPr>
            <w:tcW w:w="1101" w:type="dxa"/>
          </w:tcPr>
          <w:p w14:paraId="697F2C9E" w14:textId="77777777" w:rsidR="00535559" w:rsidRPr="009F1571" w:rsidRDefault="00535559" w:rsidP="00AE0C92">
            <w:pPr>
              <w:tabs>
                <w:tab w:val="center" w:pos="774"/>
              </w:tabs>
              <w:rPr>
                <w:rFonts w:eastAsia="MS Mincho"/>
                <w:sz w:val="18"/>
                <w:szCs w:val="18"/>
                <w:lang w:eastAsia="ja-JP"/>
              </w:rPr>
            </w:pPr>
            <w:r w:rsidRPr="009F1571">
              <w:rPr>
                <w:rFonts w:eastAsia="MS Mincho"/>
                <w:sz w:val="18"/>
                <w:szCs w:val="18"/>
                <w:lang w:eastAsia="ja-JP"/>
              </w:rPr>
              <w:t xml:space="preserve">450-470 </w:t>
            </w:r>
          </w:p>
        </w:tc>
        <w:tc>
          <w:tcPr>
            <w:tcW w:w="939" w:type="dxa"/>
          </w:tcPr>
          <w:p w14:paraId="4EDF87BC" w14:textId="77777777" w:rsidR="00535559" w:rsidRPr="009F1571" w:rsidRDefault="00535559" w:rsidP="00AE0C92">
            <w:pPr>
              <w:tabs>
                <w:tab w:val="center" w:pos="774"/>
              </w:tabs>
              <w:rPr>
                <w:sz w:val="18"/>
                <w:szCs w:val="18"/>
                <w:lang w:eastAsia="zh-CN"/>
              </w:rPr>
            </w:pPr>
          </w:p>
        </w:tc>
        <w:tc>
          <w:tcPr>
            <w:tcW w:w="1069" w:type="dxa"/>
          </w:tcPr>
          <w:p w14:paraId="70670512" w14:textId="77777777" w:rsidR="00535559" w:rsidRPr="009F1571" w:rsidRDefault="00535559" w:rsidP="00AE0C92">
            <w:pPr>
              <w:tabs>
                <w:tab w:val="center" w:pos="774"/>
              </w:tabs>
              <w:rPr>
                <w:sz w:val="18"/>
                <w:szCs w:val="18"/>
                <w:lang w:eastAsia="zh-CN"/>
              </w:rPr>
            </w:pPr>
          </w:p>
        </w:tc>
        <w:tc>
          <w:tcPr>
            <w:tcW w:w="1067" w:type="dxa"/>
          </w:tcPr>
          <w:p w14:paraId="3B3A7235" w14:textId="77777777" w:rsidR="00535559" w:rsidRPr="009F1571" w:rsidRDefault="00535559" w:rsidP="00AE0C92">
            <w:pPr>
              <w:tabs>
                <w:tab w:val="center" w:pos="774"/>
              </w:tabs>
              <w:rPr>
                <w:sz w:val="18"/>
                <w:szCs w:val="18"/>
                <w:lang w:eastAsia="zh-CN"/>
              </w:rPr>
            </w:pPr>
          </w:p>
        </w:tc>
        <w:tc>
          <w:tcPr>
            <w:tcW w:w="1417" w:type="dxa"/>
          </w:tcPr>
          <w:p w14:paraId="4C3C4008" w14:textId="77777777" w:rsidR="00535559" w:rsidRPr="009F1571" w:rsidRDefault="00535559" w:rsidP="00AE0C92">
            <w:pPr>
              <w:tabs>
                <w:tab w:val="center" w:pos="774"/>
              </w:tabs>
              <w:rPr>
                <w:sz w:val="18"/>
                <w:szCs w:val="18"/>
                <w:lang w:eastAsia="zh-CN"/>
              </w:rPr>
            </w:pPr>
          </w:p>
        </w:tc>
        <w:tc>
          <w:tcPr>
            <w:tcW w:w="1076" w:type="dxa"/>
          </w:tcPr>
          <w:p w14:paraId="3E715882" w14:textId="77777777" w:rsidR="00535559" w:rsidRPr="009F1571" w:rsidRDefault="00535559" w:rsidP="00AE0C92">
            <w:pPr>
              <w:tabs>
                <w:tab w:val="center" w:pos="774"/>
              </w:tabs>
              <w:rPr>
                <w:sz w:val="18"/>
                <w:szCs w:val="18"/>
                <w:lang w:eastAsia="zh-CN"/>
              </w:rPr>
            </w:pPr>
          </w:p>
        </w:tc>
        <w:tc>
          <w:tcPr>
            <w:tcW w:w="895" w:type="dxa"/>
          </w:tcPr>
          <w:p w14:paraId="1D5D58C2" w14:textId="77777777" w:rsidR="00535559" w:rsidRPr="009F1571" w:rsidRDefault="00535559" w:rsidP="00AE0C92">
            <w:pPr>
              <w:tabs>
                <w:tab w:val="center" w:pos="774"/>
              </w:tabs>
              <w:rPr>
                <w:sz w:val="18"/>
                <w:szCs w:val="18"/>
                <w:lang w:eastAsia="zh-CN"/>
              </w:rPr>
            </w:pPr>
          </w:p>
        </w:tc>
        <w:tc>
          <w:tcPr>
            <w:tcW w:w="1026" w:type="dxa"/>
          </w:tcPr>
          <w:p w14:paraId="2122C2AD" w14:textId="77777777" w:rsidR="00535559" w:rsidRPr="009F1571" w:rsidRDefault="00535559" w:rsidP="00AE0C92">
            <w:pPr>
              <w:tabs>
                <w:tab w:val="center" w:pos="774"/>
              </w:tabs>
              <w:rPr>
                <w:sz w:val="18"/>
                <w:szCs w:val="18"/>
                <w:lang w:eastAsia="zh-CN"/>
              </w:rPr>
            </w:pPr>
          </w:p>
        </w:tc>
        <w:tc>
          <w:tcPr>
            <w:tcW w:w="1605" w:type="dxa"/>
          </w:tcPr>
          <w:p w14:paraId="4D93232A" w14:textId="77777777" w:rsidR="00535559" w:rsidRPr="009F1571" w:rsidRDefault="00535559" w:rsidP="00AE0C92">
            <w:pPr>
              <w:tabs>
                <w:tab w:val="center" w:pos="774"/>
              </w:tabs>
              <w:rPr>
                <w:sz w:val="18"/>
                <w:szCs w:val="18"/>
                <w:lang w:eastAsia="zh-CN"/>
              </w:rPr>
            </w:pPr>
          </w:p>
        </w:tc>
      </w:tr>
      <w:tr w:rsidR="00535559" w:rsidRPr="009F1571" w14:paraId="08D95EB9" w14:textId="77777777" w:rsidTr="00AE0C92">
        <w:trPr>
          <w:gridAfter w:val="1"/>
          <w:wAfter w:w="6" w:type="dxa"/>
          <w:trHeight w:val="333"/>
          <w:jc w:val="center"/>
        </w:trPr>
        <w:tc>
          <w:tcPr>
            <w:tcW w:w="1101" w:type="dxa"/>
          </w:tcPr>
          <w:p w14:paraId="70254E23" w14:textId="77777777" w:rsidR="00535559" w:rsidRPr="009F1571" w:rsidRDefault="00535559" w:rsidP="00AE0C92">
            <w:pPr>
              <w:rPr>
                <w:rFonts w:eastAsia="MS PGothic"/>
                <w:sz w:val="18"/>
                <w:szCs w:val="18"/>
                <w:lang w:eastAsia="zh-CN"/>
              </w:rPr>
            </w:pPr>
            <w:r w:rsidRPr="009F1571">
              <w:rPr>
                <w:rFonts w:eastAsia="MS PGothic"/>
                <w:sz w:val="18"/>
                <w:szCs w:val="18"/>
                <w:lang w:eastAsia="zh-CN"/>
              </w:rPr>
              <w:t>703-748/</w:t>
            </w:r>
          </w:p>
          <w:p w14:paraId="62338F25" w14:textId="77777777" w:rsidR="00535559" w:rsidRPr="009F1571" w:rsidRDefault="00535559" w:rsidP="00AE0C92">
            <w:pPr>
              <w:rPr>
                <w:rFonts w:eastAsia="MS PGothic"/>
                <w:sz w:val="18"/>
                <w:szCs w:val="18"/>
                <w:lang w:eastAsia="zh-CN"/>
              </w:rPr>
            </w:pPr>
            <w:r w:rsidRPr="009F1571">
              <w:rPr>
                <w:rFonts w:eastAsia="MS PGothic"/>
                <w:sz w:val="18"/>
                <w:szCs w:val="18"/>
                <w:lang w:eastAsia="zh-CN"/>
              </w:rPr>
              <w:t xml:space="preserve">758-803 </w:t>
            </w:r>
          </w:p>
        </w:tc>
        <w:tc>
          <w:tcPr>
            <w:tcW w:w="939" w:type="dxa"/>
          </w:tcPr>
          <w:p w14:paraId="6F077726" w14:textId="77777777" w:rsidR="00535559" w:rsidRPr="009F1571" w:rsidRDefault="00535559" w:rsidP="00AE0C92">
            <w:pPr>
              <w:jc w:val="center"/>
              <w:rPr>
                <w:rFonts w:eastAsia="MS PGothic"/>
                <w:sz w:val="18"/>
                <w:szCs w:val="18"/>
                <w:lang w:eastAsia="zh-CN"/>
              </w:rPr>
            </w:pPr>
          </w:p>
        </w:tc>
        <w:tc>
          <w:tcPr>
            <w:tcW w:w="1069" w:type="dxa"/>
          </w:tcPr>
          <w:p w14:paraId="0C72DE8D" w14:textId="77777777" w:rsidR="00535559" w:rsidRPr="009F1571" w:rsidRDefault="00535559" w:rsidP="00AE0C92">
            <w:pPr>
              <w:jc w:val="center"/>
              <w:rPr>
                <w:rFonts w:eastAsia="MS PGothic"/>
                <w:sz w:val="18"/>
                <w:szCs w:val="18"/>
                <w:lang w:eastAsia="zh-CN"/>
              </w:rPr>
            </w:pPr>
          </w:p>
        </w:tc>
        <w:tc>
          <w:tcPr>
            <w:tcW w:w="1067" w:type="dxa"/>
          </w:tcPr>
          <w:p w14:paraId="2DD07082" w14:textId="77777777" w:rsidR="00535559" w:rsidRPr="009F1571" w:rsidRDefault="00535559" w:rsidP="00AE0C92">
            <w:pPr>
              <w:jc w:val="center"/>
              <w:rPr>
                <w:rFonts w:eastAsia="MS PGothic"/>
                <w:sz w:val="18"/>
                <w:szCs w:val="18"/>
                <w:lang w:eastAsia="zh-CN"/>
              </w:rPr>
            </w:pPr>
          </w:p>
        </w:tc>
        <w:tc>
          <w:tcPr>
            <w:tcW w:w="1417" w:type="dxa"/>
          </w:tcPr>
          <w:p w14:paraId="3079084A" w14:textId="77777777" w:rsidR="00535559" w:rsidRPr="009F1571" w:rsidRDefault="00535559" w:rsidP="00AE0C92">
            <w:pPr>
              <w:jc w:val="center"/>
              <w:rPr>
                <w:rFonts w:eastAsia="MS PGothic"/>
                <w:sz w:val="18"/>
                <w:szCs w:val="18"/>
                <w:lang w:eastAsia="zh-CN"/>
              </w:rPr>
            </w:pPr>
          </w:p>
        </w:tc>
        <w:tc>
          <w:tcPr>
            <w:tcW w:w="1076" w:type="dxa"/>
          </w:tcPr>
          <w:p w14:paraId="2E3FC94A" w14:textId="77777777" w:rsidR="00535559" w:rsidRPr="009F1571" w:rsidRDefault="00535559" w:rsidP="00AE0C92">
            <w:pPr>
              <w:jc w:val="center"/>
              <w:rPr>
                <w:rFonts w:eastAsia="MS PGothic"/>
                <w:sz w:val="18"/>
                <w:szCs w:val="18"/>
                <w:lang w:eastAsia="zh-CN"/>
              </w:rPr>
            </w:pPr>
          </w:p>
        </w:tc>
        <w:tc>
          <w:tcPr>
            <w:tcW w:w="895" w:type="dxa"/>
          </w:tcPr>
          <w:p w14:paraId="6019DD85" w14:textId="77777777" w:rsidR="00535559" w:rsidRPr="009F1571" w:rsidRDefault="00535559" w:rsidP="00AE0C92">
            <w:pPr>
              <w:jc w:val="center"/>
              <w:rPr>
                <w:rFonts w:eastAsia="MS PGothic"/>
                <w:sz w:val="18"/>
                <w:szCs w:val="18"/>
                <w:lang w:eastAsia="zh-CN"/>
              </w:rPr>
            </w:pPr>
          </w:p>
        </w:tc>
        <w:tc>
          <w:tcPr>
            <w:tcW w:w="1026" w:type="dxa"/>
          </w:tcPr>
          <w:p w14:paraId="5B5415A6" w14:textId="77777777" w:rsidR="00535559" w:rsidRPr="009F1571" w:rsidRDefault="00535559" w:rsidP="00AE0C92">
            <w:pPr>
              <w:jc w:val="center"/>
              <w:rPr>
                <w:rFonts w:eastAsia="MS PGothic"/>
                <w:sz w:val="18"/>
                <w:szCs w:val="18"/>
                <w:lang w:eastAsia="zh-CN"/>
              </w:rPr>
            </w:pPr>
          </w:p>
        </w:tc>
        <w:tc>
          <w:tcPr>
            <w:tcW w:w="1605" w:type="dxa"/>
          </w:tcPr>
          <w:p w14:paraId="43CF7572" w14:textId="77777777" w:rsidR="00535559" w:rsidRPr="009F1571" w:rsidRDefault="00535559" w:rsidP="00AE0C92">
            <w:pPr>
              <w:jc w:val="center"/>
              <w:rPr>
                <w:rFonts w:eastAsia="MS PGothic"/>
                <w:sz w:val="18"/>
                <w:szCs w:val="18"/>
                <w:lang w:eastAsia="zh-CN"/>
              </w:rPr>
            </w:pPr>
          </w:p>
        </w:tc>
      </w:tr>
      <w:tr w:rsidR="00535559" w:rsidRPr="009F1571" w14:paraId="5EF8BBA8" w14:textId="77777777" w:rsidTr="00AE0C92">
        <w:trPr>
          <w:gridAfter w:val="1"/>
          <w:wAfter w:w="6" w:type="dxa"/>
          <w:trHeight w:val="281"/>
          <w:jc w:val="center"/>
        </w:trPr>
        <w:tc>
          <w:tcPr>
            <w:tcW w:w="1101" w:type="dxa"/>
          </w:tcPr>
          <w:p w14:paraId="16139D8D" w14:textId="77777777" w:rsidR="00535559" w:rsidRPr="009F1571" w:rsidRDefault="00535559" w:rsidP="00AE0C92">
            <w:pPr>
              <w:rPr>
                <w:sz w:val="18"/>
                <w:szCs w:val="18"/>
                <w:lang w:eastAsia="zh-CN"/>
              </w:rPr>
            </w:pPr>
            <w:r w:rsidRPr="009F1571">
              <w:rPr>
                <w:sz w:val="18"/>
                <w:szCs w:val="18"/>
                <w:lang w:eastAsia="zh-CN"/>
              </w:rPr>
              <w:t>825-850/</w:t>
            </w:r>
          </w:p>
          <w:p w14:paraId="098FE27F" w14:textId="77777777" w:rsidR="00535559" w:rsidRPr="009F1571" w:rsidRDefault="00535559" w:rsidP="00AE0C92">
            <w:pPr>
              <w:rPr>
                <w:sz w:val="18"/>
                <w:szCs w:val="18"/>
                <w:lang w:eastAsia="zh-CN"/>
              </w:rPr>
            </w:pPr>
            <w:r w:rsidRPr="009F1571">
              <w:rPr>
                <w:sz w:val="18"/>
                <w:szCs w:val="18"/>
                <w:lang w:eastAsia="zh-CN"/>
              </w:rPr>
              <w:t xml:space="preserve">870-890 </w:t>
            </w:r>
          </w:p>
        </w:tc>
        <w:tc>
          <w:tcPr>
            <w:tcW w:w="939" w:type="dxa"/>
          </w:tcPr>
          <w:p w14:paraId="6FF0E56B" w14:textId="77777777" w:rsidR="00535559" w:rsidRPr="009F1571" w:rsidRDefault="00535559" w:rsidP="00AE0C92">
            <w:pPr>
              <w:jc w:val="center"/>
              <w:rPr>
                <w:rFonts w:eastAsia="MS PGothic"/>
                <w:sz w:val="18"/>
                <w:szCs w:val="18"/>
                <w:lang w:eastAsia="zh-CN"/>
              </w:rPr>
            </w:pPr>
          </w:p>
        </w:tc>
        <w:tc>
          <w:tcPr>
            <w:tcW w:w="1069" w:type="dxa"/>
          </w:tcPr>
          <w:p w14:paraId="079E3E6C" w14:textId="77777777" w:rsidR="00535559" w:rsidRPr="009F1571" w:rsidRDefault="00535559" w:rsidP="00AE0C92">
            <w:pPr>
              <w:jc w:val="center"/>
              <w:rPr>
                <w:rFonts w:eastAsia="MS PGothic"/>
                <w:sz w:val="18"/>
                <w:szCs w:val="18"/>
                <w:lang w:eastAsia="zh-CN"/>
              </w:rPr>
            </w:pPr>
          </w:p>
        </w:tc>
        <w:tc>
          <w:tcPr>
            <w:tcW w:w="1067" w:type="dxa"/>
          </w:tcPr>
          <w:p w14:paraId="5CCD7526" w14:textId="77777777" w:rsidR="00535559" w:rsidRPr="009F1571" w:rsidRDefault="00535559" w:rsidP="00AE0C92">
            <w:pPr>
              <w:jc w:val="center"/>
              <w:rPr>
                <w:rFonts w:eastAsia="MS PGothic"/>
                <w:sz w:val="18"/>
                <w:szCs w:val="18"/>
                <w:lang w:eastAsia="zh-CN"/>
              </w:rPr>
            </w:pPr>
          </w:p>
        </w:tc>
        <w:tc>
          <w:tcPr>
            <w:tcW w:w="1417" w:type="dxa"/>
          </w:tcPr>
          <w:p w14:paraId="51140A52" w14:textId="77777777" w:rsidR="00535559" w:rsidRPr="009F1571" w:rsidRDefault="00535559" w:rsidP="00AE0C92">
            <w:pPr>
              <w:jc w:val="center"/>
              <w:rPr>
                <w:rFonts w:eastAsia="MS PGothic"/>
                <w:sz w:val="18"/>
                <w:szCs w:val="18"/>
                <w:lang w:eastAsia="zh-CN"/>
              </w:rPr>
            </w:pPr>
          </w:p>
        </w:tc>
        <w:tc>
          <w:tcPr>
            <w:tcW w:w="1076" w:type="dxa"/>
          </w:tcPr>
          <w:p w14:paraId="08DCCBA0" w14:textId="77777777" w:rsidR="00535559" w:rsidRPr="009F1571" w:rsidRDefault="00535559" w:rsidP="00AE0C92">
            <w:pPr>
              <w:jc w:val="center"/>
              <w:rPr>
                <w:rFonts w:eastAsia="MS PGothic"/>
                <w:sz w:val="18"/>
                <w:szCs w:val="18"/>
                <w:lang w:eastAsia="zh-CN"/>
              </w:rPr>
            </w:pPr>
          </w:p>
        </w:tc>
        <w:tc>
          <w:tcPr>
            <w:tcW w:w="895" w:type="dxa"/>
          </w:tcPr>
          <w:p w14:paraId="197C78D1" w14:textId="77777777" w:rsidR="00535559" w:rsidRPr="009F1571" w:rsidRDefault="00535559" w:rsidP="00AE0C92">
            <w:pPr>
              <w:jc w:val="center"/>
              <w:rPr>
                <w:rFonts w:eastAsia="MS PGothic"/>
                <w:sz w:val="18"/>
                <w:szCs w:val="18"/>
                <w:lang w:eastAsia="zh-CN"/>
              </w:rPr>
            </w:pPr>
          </w:p>
        </w:tc>
        <w:tc>
          <w:tcPr>
            <w:tcW w:w="1026" w:type="dxa"/>
          </w:tcPr>
          <w:p w14:paraId="5733AC89" w14:textId="77777777" w:rsidR="00535559" w:rsidRPr="009F1571" w:rsidRDefault="00535559" w:rsidP="00AE0C92">
            <w:pPr>
              <w:jc w:val="center"/>
              <w:rPr>
                <w:rFonts w:eastAsia="MS PGothic"/>
                <w:sz w:val="18"/>
                <w:szCs w:val="18"/>
                <w:lang w:eastAsia="zh-CN"/>
              </w:rPr>
            </w:pPr>
          </w:p>
        </w:tc>
        <w:tc>
          <w:tcPr>
            <w:tcW w:w="1605" w:type="dxa"/>
          </w:tcPr>
          <w:p w14:paraId="746EEFF7" w14:textId="77777777" w:rsidR="00535559" w:rsidRPr="009F1571" w:rsidRDefault="00535559" w:rsidP="00AE0C92">
            <w:pPr>
              <w:jc w:val="center"/>
              <w:rPr>
                <w:rFonts w:eastAsia="MS PGothic"/>
                <w:sz w:val="18"/>
                <w:szCs w:val="18"/>
                <w:lang w:eastAsia="zh-CN"/>
              </w:rPr>
            </w:pPr>
          </w:p>
        </w:tc>
      </w:tr>
      <w:tr w:rsidR="00535559" w:rsidRPr="009F1571" w14:paraId="6C504A48" w14:textId="77777777" w:rsidTr="00AE0C92">
        <w:trPr>
          <w:gridAfter w:val="1"/>
          <w:wAfter w:w="6" w:type="dxa"/>
          <w:trHeight w:val="304"/>
          <w:jc w:val="center"/>
        </w:trPr>
        <w:tc>
          <w:tcPr>
            <w:tcW w:w="1101" w:type="dxa"/>
          </w:tcPr>
          <w:p w14:paraId="07440FA6" w14:textId="77777777" w:rsidR="00535559" w:rsidRPr="009F1571" w:rsidRDefault="00535559" w:rsidP="00AE0C92">
            <w:pPr>
              <w:rPr>
                <w:sz w:val="18"/>
                <w:szCs w:val="18"/>
                <w:lang w:eastAsia="zh-CN"/>
              </w:rPr>
            </w:pPr>
            <w:r w:rsidRPr="009F1571">
              <w:rPr>
                <w:sz w:val="18"/>
                <w:szCs w:val="18"/>
                <w:lang w:eastAsia="zh-CN"/>
              </w:rPr>
              <w:t>880-890/</w:t>
            </w:r>
          </w:p>
          <w:p w14:paraId="59191132" w14:textId="77777777" w:rsidR="00535559" w:rsidRPr="009F1571" w:rsidRDefault="00535559" w:rsidP="00AE0C92">
            <w:pPr>
              <w:rPr>
                <w:sz w:val="18"/>
                <w:szCs w:val="18"/>
                <w:lang w:eastAsia="zh-CN"/>
              </w:rPr>
            </w:pPr>
            <w:r w:rsidRPr="009F1571">
              <w:rPr>
                <w:sz w:val="18"/>
                <w:szCs w:val="18"/>
                <w:lang w:eastAsia="zh-CN"/>
              </w:rPr>
              <w:t xml:space="preserve">925-935 </w:t>
            </w:r>
          </w:p>
        </w:tc>
        <w:tc>
          <w:tcPr>
            <w:tcW w:w="939" w:type="dxa"/>
          </w:tcPr>
          <w:p w14:paraId="31B5865A" w14:textId="77777777" w:rsidR="00535559" w:rsidRPr="009F1571" w:rsidRDefault="00535559" w:rsidP="00AE0C92">
            <w:pPr>
              <w:tabs>
                <w:tab w:val="left" w:pos="1260"/>
              </w:tabs>
              <w:rPr>
                <w:sz w:val="18"/>
                <w:szCs w:val="18"/>
                <w:lang w:eastAsia="zh-CN"/>
              </w:rPr>
            </w:pPr>
          </w:p>
        </w:tc>
        <w:tc>
          <w:tcPr>
            <w:tcW w:w="1069" w:type="dxa"/>
          </w:tcPr>
          <w:p w14:paraId="1BF006B6" w14:textId="77777777" w:rsidR="00535559" w:rsidRPr="009F1571" w:rsidRDefault="00535559" w:rsidP="00AE0C92">
            <w:pPr>
              <w:tabs>
                <w:tab w:val="left" w:pos="1260"/>
              </w:tabs>
              <w:rPr>
                <w:sz w:val="18"/>
                <w:szCs w:val="18"/>
                <w:lang w:eastAsia="zh-CN"/>
              </w:rPr>
            </w:pPr>
          </w:p>
        </w:tc>
        <w:tc>
          <w:tcPr>
            <w:tcW w:w="1067" w:type="dxa"/>
          </w:tcPr>
          <w:p w14:paraId="623E29B0" w14:textId="77777777" w:rsidR="00535559" w:rsidRPr="009F1571" w:rsidRDefault="00535559" w:rsidP="00AE0C92">
            <w:pPr>
              <w:tabs>
                <w:tab w:val="left" w:pos="1260"/>
              </w:tabs>
              <w:rPr>
                <w:sz w:val="18"/>
                <w:szCs w:val="18"/>
                <w:lang w:eastAsia="zh-CN"/>
              </w:rPr>
            </w:pPr>
          </w:p>
        </w:tc>
        <w:tc>
          <w:tcPr>
            <w:tcW w:w="1417" w:type="dxa"/>
          </w:tcPr>
          <w:p w14:paraId="05D24046" w14:textId="77777777" w:rsidR="00535559" w:rsidRPr="009F1571" w:rsidRDefault="00535559" w:rsidP="00AE0C92">
            <w:pPr>
              <w:tabs>
                <w:tab w:val="left" w:pos="1260"/>
              </w:tabs>
              <w:rPr>
                <w:sz w:val="18"/>
                <w:szCs w:val="18"/>
                <w:lang w:eastAsia="zh-CN"/>
              </w:rPr>
            </w:pPr>
          </w:p>
        </w:tc>
        <w:tc>
          <w:tcPr>
            <w:tcW w:w="1076" w:type="dxa"/>
          </w:tcPr>
          <w:p w14:paraId="6DF87027" w14:textId="77777777" w:rsidR="00535559" w:rsidRPr="009F1571" w:rsidRDefault="00535559" w:rsidP="00AE0C92">
            <w:pPr>
              <w:tabs>
                <w:tab w:val="left" w:pos="1260"/>
              </w:tabs>
              <w:rPr>
                <w:sz w:val="18"/>
                <w:szCs w:val="18"/>
                <w:lang w:eastAsia="zh-CN"/>
              </w:rPr>
            </w:pPr>
          </w:p>
        </w:tc>
        <w:tc>
          <w:tcPr>
            <w:tcW w:w="895" w:type="dxa"/>
          </w:tcPr>
          <w:p w14:paraId="6EF3873E" w14:textId="77777777" w:rsidR="00535559" w:rsidRPr="009F1571" w:rsidRDefault="00535559" w:rsidP="00AE0C92">
            <w:pPr>
              <w:tabs>
                <w:tab w:val="left" w:pos="1260"/>
              </w:tabs>
              <w:rPr>
                <w:sz w:val="18"/>
                <w:szCs w:val="18"/>
                <w:lang w:eastAsia="zh-CN"/>
              </w:rPr>
            </w:pPr>
          </w:p>
        </w:tc>
        <w:tc>
          <w:tcPr>
            <w:tcW w:w="1026" w:type="dxa"/>
          </w:tcPr>
          <w:p w14:paraId="0F985820" w14:textId="77777777" w:rsidR="00535559" w:rsidRPr="009F1571" w:rsidRDefault="00535559" w:rsidP="00AE0C92">
            <w:pPr>
              <w:tabs>
                <w:tab w:val="left" w:pos="1260"/>
              </w:tabs>
              <w:rPr>
                <w:sz w:val="18"/>
                <w:szCs w:val="18"/>
                <w:lang w:eastAsia="zh-CN"/>
              </w:rPr>
            </w:pPr>
          </w:p>
        </w:tc>
        <w:tc>
          <w:tcPr>
            <w:tcW w:w="1605" w:type="dxa"/>
          </w:tcPr>
          <w:p w14:paraId="62798E2D" w14:textId="77777777" w:rsidR="00535559" w:rsidRPr="009F1571" w:rsidRDefault="00535559" w:rsidP="00AE0C92">
            <w:pPr>
              <w:tabs>
                <w:tab w:val="left" w:pos="1260"/>
              </w:tabs>
              <w:rPr>
                <w:sz w:val="18"/>
                <w:szCs w:val="18"/>
                <w:lang w:eastAsia="zh-CN"/>
              </w:rPr>
            </w:pPr>
          </w:p>
        </w:tc>
      </w:tr>
      <w:tr w:rsidR="00535559" w:rsidRPr="009F1571" w14:paraId="1E967A5D" w14:textId="77777777" w:rsidTr="00AE0C92">
        <w:trPr>
          <w:gridAfter w:val="1"/>
          <w:wAfter w:w="6" w:type="dxa"/>
          <w:trHeight w:val="304"/>
          <w:jc w:val="center"/>
        </w:trPr>
        <w:tc>
          <w:tcPr>
            <w:tcW w:w="1101" w:type="dxa"/>
          </w:tcPr>
          <w:p w14:paraId="5F3EA89C" w14:textId="77777777" w:rsidR="00535559" w:rsidRPr="009F1571" w:rsidRDefault="00535559" w:rsidP="00AE0C92">
            <w:pPr>
              <w:rPr>
                <w:sz w:val="18"/>
                <w:szCs w:val="18"/>
                <w:lang w:eastAsia="ko-KR"/>
              </w:rPr>
            </w:pPr>
            <w:r w:rsidRPr="009F1571">
              <w:rPr>
                <w:sz w:val="18"/>
                <w:szCs w:val="18"/>
                <w:lang w:eastAsia="ko-KR"/>
              </w:rPr>
              <w:t>890-915/</w:t>
            </w:r>
          </w:p>
          <w:p w14:paraId="01D75DA4" w14:textId="77777777" w:rsidR="00535559" w:rsidRPr="009F1571" w:rsidRDefault="00535559" w:rsidP="00AE0C92">
            <w:pPr>
              <w:rPr>
                <w:sz w:val="18"/>
                <w:szCs w:val="18"/>
                <w:lang w:eastAsia="ko-KR"/>
              </w:rPr>
            </w:pPr>
            <w:r w:rsidRPr="009F1571">
              <w:rPr>
                <w:sz w:val="18"/>
                <w:szCs w:val="18"/>
                <w:lang w:eastAsia="ko-KR"/>
              </w:rPr>
              <w:t>935-960</w:t>
            </w:r>
          </w:p>
        </w:tc>
        <w:tc>
          <w:tcPr>
            <w:tcW w:w="939" w:type="dxa"/>
          </w:tcPr>
          <w:p w14:paraId="3E2FFE72" w14:textId="77777777" w:rsidR="00535559" w:rsidRPr="009F1571" w:rsidRDefault="00535559" w:rsidP="00AE0C92">
            <w:pPr>
              <w:tabs>
                <w:tab w:val="left" w:pos="1260"/>
              </w:tabs>
              <w:rPr>
                <w:sz w:val="18"/>
                <w:szCs w:val="18"/>
                <w:lang w:eastAsia="zh-CN"/>
              </w:rPr>
            </w:pPr>
          </w:p>
        </w:tc>
        <w:tc>
          <w:tcPr>
            <w:tcW w:w="1069" w:type="dxa"/>
          </w:tcPr>
          <w:p w14:paraId="52413927" w14:textId="77777777" w:rsidR="00535559" w:rsidRPr="009F1571" w:rsidRDefault="00535559" w:rsidP="00AE0C92">
            <w:pPr>
              <w:tabs>
                <w:tab w:val="left" w:pos="1260"/>
              </w:tabs>
              <w:rPr>
                <w:sz w:val="18"/>
                <w:szCs w:val="18"/>
                <w:lang w:eastAsia="zh-CN"/>
              </w:rPr>
            </w:pPr>
          </w:p>
        </w:tc>
        <w:tc>
          <w:tcPr>
            <w:tcW w:w="1067" w:type="dxa"/>
          </w:tcPr>
          <w:p w14:paraId="2B3A6091" w14:textId="77777777" w:rsidR="00535559" w:rsidRPr="009F1571" w:rsidRDefault="00535559" w:rsidP="00AE0C92">
            <w:pPr>
              <w:tabs>
                <w:tab w:val="left" w:pos="1260"/>
              </w:tabs>
              <w:rPr>
                <w:sz w:val="18"/>
                <w:szCs w:val="18"/>
                <w:lang w:eastAsia="zh-CN"/>
              </w:rPr>
            </w:pPr>
          </w:p>
        </w:tc>
        <w:tc>
          <w:tcPr>
            <w:tcW w:w="1417" w:type="dxa"/>
          </w:tcPr>
          <w:p w14:paraId="79975484" w14:textId="77777777" w:rsidR="00535559" w:rsidRPr="009F1571" w:rsidRDefault="00535559" w:rsidP="00AE0C92">
            <w:pPr>
              <w:tabs>
                <w:tab w:val="left" w:pos="1260"/>
              </w:tabs>
              <w:rPr>
                <w:sz w:val="18"/>
                <w:szCs w:val="18"/>
                <w:lang w:eastAsia="zh-CN"/>
              </w:rPr>
            </w:pPr>
          </w:p>
        </w:tc>
        <w:tc>
          <w:tcPr>
            <w:tcW w:w="1076" w:type="dxa"/>
          </w:tcPr>
          <w:p w14:paraId="3D9254D9" w14:textId="77777777" w:rsidR="00535559" w:rsidRPr="009F1571" w:rsidRDefault="00535559" w:rsidP="00AE0C92">
            <w:pPr>
              <w:tabs>
                <w:tab w:val="left" w:pos="1260"/>
              </w:tabs>
              <w:rPr>
                <w:sz w:val="18"/>
                <w:szCs w:val="18"/>
                <w:lang w:eastAsia="zh-CN"/>
              </w:rPr>
            </w:pPr>
          </w:p>
        </w:tc>
        <w:tc>
          <w:tcPr>
            <w:tcW w:w="895" w:type="dxa"/>
          </w:tcPr>
          <w:p w14:paraId="31CDDD47" w14:textId="77777777" w:rsidR="00535559" w:rsidRPr="009F1571" w:rsidRDefault="00535559" w:rsidP="00AE0C92">
            <w:pPr>
              <w:tabs>
                <w:tab w:val="left" w:pos="1260"/>
              </w:tabs>
              <w:rPr>
                <w:sz w:val="18"/>
                <w:szCs w:val="18"/>
                <w:lang w:eastAsia="zh-CN"/>
              </w:rPr>
            </w:pPr>
          </w:p>
        </w:tc>
        <w:tc>
          <w:tcPr>
            <w:tcW w:w="1026" w:type="dxa"/>
          </w:tcPr>
          <w:p w14:paraId="41AEBB78" w14:textId="77777777" w:rsidR="00535559" w:rsidRPr="009F1571" w:rsidRDefault="00535559" w:rsidP="00AE0C92">
            <w:pPr>
              <w:tabs>
                <w:tab w:val="left" w:pos="1260"/>
              </w:tabs>
              <w:rPr>
                <w:sz w:val="18"/>
                <w:szCs w:val="18"/>
                <w:lang w:eastAsia="zh-CN"/>
              </w:rPr>
            </w:pPr>
          </w:p>
        </w:tc>
        <w:tc>
          <w:tcPr>
            <w:tcW w:w="1605" w:type="dxa"/>
          </w:tcPr>
          <w:p w14:paraId="675AB9CA" w14:textId="77777777" w:rsidR="00535559" w:rsidRPr="009F1571" w:rsidRDefault="00535559" w:rsidP="00AE0C92">
            <w:pPr>
              <w:tabs>
                <w:tab w:val="left" w:pos="1260"/>
              </w:tabs>
              <w:rPr>
                <w:sz w:val="18"/>
                <w:szCs w:val="18"/>
                <w:lang w:eastAsia="zh-CN"/>
              </w:rPr>
            </w:pPr>
          </w:p>
        </w:tc>
      </w:tr>
      <w:tr w:rsidR="00535559" w:rsidRPr="009F1571" w14:paraId="185D9915" w14:textId="77777777" w:rsidTr="00AE0C92">
        <w:trPr>
          <w:gridAfter w:val="1"/>
          <w:wAfter w:w="6" w:type="dxa"/>
          <w:trHeight w:val="304"/>
          <w:jc w:val="center"/>
        </w:trPr>
        <w:tc>
          <w:tcPr>
            <w:tcW w:w="1101" w:type="dxa"/>
          </w:tcPr>
          <w:p w14:paraId="0DE0FE8E" w14:textId="77777777" w:rsidR="00535559" w:rsidRPr="009F1571" w:rsidRDefault="00535559" w:rsidP="00AE0C92">
            <w:pPr>
              <w:rPr>
                <w:sz w:val="18"/>
                <w:szCs w:val="18"/>
                <w:lang w:eastAsia="zh-CN"/>
              </w:rPr>
            </w:pPr>
            <w:r w:rsidRPr="009F1571">
              <w:rPr>
                <w:sz w:val="18"/>
                <w:szCs w:val="18"/>
                <w:lang w:eastAsia="zh-CN"/>
              </w:rPr>
              <w:t>1710-1785/</w:t>
            </w:r>
          </w:p>
          <w:p w14:paraId="0B924CFB" w14:textId="77777777" w:rsidR="00535559" w:rsidRPr="009F1571" w:rsidRDefault="00535559" w:rsidP="00AE0C92">
            <w:pPr>
              <w:rPr>
                <w:rFonts w:eastAsia="MS PGothic"/>
                <w:sz w:val="18"/>
                <w:szCs w:val="18"/>
                <w:lang w:eastAsia="zh-CN"/>
              </w:rPr>
            </w:pPr>
            <w:r w:rsidRPr="009F1571">
              <w:rPr>
                <w:sz w:val="18"/>
                <w:szCs w:val="18"/>
                <w:lang w:eastAsia="zh-CN"/>
              </w:rPr>
              <w:t xml:space="preserve">1805-1880 </w:t>
            </w:r>
          </w:p>
        </w:tc>
        <w:tc>
          <w:tcPr>
            <w:tcW w:w="939" w:type="dxa"/>
          </w:tcPr>
          <w:p w14:paraId="069FDFED" w14:textId="77777777" w:rsidR="00535559" w:rsidRPr="009F1571" w:rsidRDefault="00535559" w:rsidP="00AE0C92">
            <w:pPr>
              <w:rPr>
                <w:sz w:val="18"/>
                <w:szCs w:val="18"/>
                <w:lang w:eastAsia="zh-CN"/>
              </w:rPr>
            </w:pPr>
          </w:p>
        </w:tc>
        <w:tc>
          <w:tcPr>
            <w:tcW w:w="1069" w:type="dxa"/>
          </w:tcPr>
          <w:p w14:paraId="3E5E370D" w14:textId="77777777" w:rsidR="00535559" w:rsidRPr="009F1571" w:rsidRDefault="00535559" w:rsidP="00AE0C92">
            <w:pPr>
              <w:rPr>
                <w:sz w:val="18"/>
                <w:szCs w:val="18"/>
                <w:lang w:eastAsia="zh-CN"/>
              </w:rPr>
            </w:pPr>
          </w:p>
        </w:tc>
        <w:tc>
          <w:tcPr>
            <w:tcW w:w="1067" w:type="dxa"/>
          </w:tcPr>
          <w:p w14:paraId="3F72D127" w14:textId="77777777" w:rsidR="00535559" w:rsidRPr="009F1571" w:rsidRDefault="00535559" w:rsidP="00AE0C92">
            <w:pPr>
              <w:rPr>
                <w:sz w:val="18"/>
                <w:szCs w:val="18"/>
                <w:lang w:eastAsia="zh-CN"/>
              </w:rPr>
            </w:pPr>
          </w:p>
        </w:tc>
        <w:tc>
          <w:tcPr>
            <w:tcW w:w="1417" w:type="dxa"/>
          </w:tcPr>
          <w:p w14:paraId="32CEA06F" w14:textId="77777777" w:rsidR="00535559" w:rsidRPr="009F1571" w:rsidRDefault="00535559" w:rsidP="00AE0C92">
            <w:pPr>
              <w:rPr>
                <w:sz w:val="18"/>
                <w:szCs w:val="18"/>
                <w:lang w:eastAsia="zh-CN"/>
              </w:rPr>
            </w:pPr>
          </w:p>
        </w:tc>
        <w:tc>
          <w:tcPr>
            <w:tcW w:w="1076" w:type="dxa"/>
          </w:tcPr>
          <w:p w14:paraId="3BED7EF1" w14:textId="77777777" w:rsidR="00535559" w:rsidRPr="009F1571" w:rsidRDefault="00535559" w:rsidP="00AE0C92">
            <w:pPr>
              <w:rPr>
                <w:sz w:val="18"/>
                <w:szCs w:val="18"/>
                <w:lang w:eastAsia="zh-CN"/>
              </w:rPr>
            </w:pPr>
          </w:p>
        </w:tc>
        <w:tc>
          <w:tcPr>
            <w:tcW w:w="895" w:type="dxa"/>
          </w:tcPr>
          <w:p w14:paraId="212BBB5E" w14:textId="77777777" w:rsidR="00535559" w:rsidRPr="009F1571" w:rsidRDefault="00535559" w:rsidP="00AE0C92">
            <w:pPr>
              <w:rPr>
                <w:sz w:val="18"/>
                <w:szCs w:val="18"/>
                <w:lang w:eastAsia="zh-CN"/>
              </w:rPr>
            </w:pPr>
          </w:p>
        </w:tc>
        <w:tc>
          <w:tcPr>
            <w:tcW w:w="1026" w:type="dxa"/>
          </w:tcPr>
          <w:p w14:paraId="25BFDA7E" w14:textId="77777777" w:rsidR="00535559" w:rsidRPr="009F1571" w:rsidRDefault="00535559" w:rsidP="00AE0C92">
            <w:pPr>
              <w:rPr>
                <w:sz w:val="18"/>
                <w:szCs w:val="18"/>
                <w:lang w:eastAsia="zh-CN"/>
              </w:rPr>
            </w:pPr>
          </w:p>
        </w:tc>
        <w:tc>
          <w:tcPr>
            <w:tcW w:w="1605" w:type="dxa"/>
          </w:tcPr>
          <w:p w14:paraId="4C2DE957" w14:textId="77777777" w:rsidR="00535559" w:rsidRPr="009F1571" w:rsidRDefault="00535559" w:rsidP="00AE0C92">
            <w:pPr>
              <w:rPr>
                <w:sz w:val="18"/>
                <w:szCs w:val="18"/>
                <w:lang w:eastAsia="zh-CN"/>
              </w:rPr>
            </w:pPr>
          </w:p>
        </w:tc>
      </w:tr>
      <w:tr w:rsidR="00535559" w:rsidRPr="009F1571" w14:paraId="2F71E2B2" w14:textId="77777777" w:rsidTr="00AE0C92">
        <w:trPr>
          <w:gridAfter w:val="1"/>
          <w:wAfter w:w="6" w:type="dxa"/>
          <w:trHeight w:val="304"/>
          <w:jc w:val="center"/>
        </w:trPr>
        <w:tc>
          <w:tcPr>
            <w:tcW w:w="1101" w:type="dxa"/>
          </w:tcPr>
          <w:p w14:paraId="59C67260" w14:textId="77777777" w:rsidR="00535559" w:rsidRDefault="00535559" w:rsidP="00AE0C92">
            <w:pPr>
              <w:rPr>
                <w:sz w:val="18"/>
                <w:szCs w:val="18"/>
                <w:lang w:eastAsia="zh-CN"/>
              </w:rPr>
            </w:pPr>
            <w:r>
              <w:rPr>
                <w:sz w:val="18"/>
                <w:szCs w:val="18"/>
                <w:lang w:eastAsia="zh-CN"/>
              </w:rPr>
              <w:t>1920-</w:t>
            </w:r>
            <w:r w:rsidRPr="009F1571">
              <w:rPr>
                <w:sz w:val="18"/>
                <w:szCs w:val="18"/>
                <w:lang w:eastAsia="zh-CN"/>
              </w:rPr>
              <w:t>1980/</w:t>
            </w:r>
          </w:p>
          <w:p w14:paraId="2D1EAC1C" w14:textId="77777777" w:rsidR="00535559" w:rsidRPr="009F1571" w:rsidRDefault="00535559" w:rsidP="00AE0C92">
            <w:pPr>
              <w:rPr>
                <w:sz w:val="18"/>
                <w:szCs w:val="18"/>
                <w:lang w:eastAsia="zh-CN"/>
              </w:rPr>
            </w:pPr>
            <w:r w:rsidRPr="009F1571">
              <w:rPr>
                <w:sz w:val="18"/>
                <w:szCs w:val="18"/>
                <w:lang w:eastAsia="zh-CN"/>
              </w:rPr>
              <w:t xml:space="preserve">2110-2170 </w:t>
            </w:r>
          </w:p>
        </w:tc>
        <w:tc>
          <w:tcPr>
            <w:tcW w:w="939" w:type="dxa"/>
          </w:tcPr>
          <w:p w14:paraId="0CBD82D8" w14:textId="77777777" w:rsidR="00535559" w:rsidRPr="009F1571" w:rsidRDefault="00535559" w:rsidP="00AE0C92">
            <w:pPr>
              <w:rPr>
                <w:sz w:val="18"/>
                <w:szCs w:val="18"/>
                <w:lang w:eastAsia="zh-CN"/>
              </w:rPr>
            </w:pPr>
          </w:p>
        </w:tc>
        <w:tc>
          <w:tcPr>
            <w:tcW w:w="1069" w:type="dxa"/>
          </w:tcPr>
          <w:p w14:paraId="5D5155AF" w14:textId="77777777" w:rsidR="00535559" w:rsidRPr="009F1571" w:rsidRDefault="00535559" w:rsidP="00AE0C92">
            <w:pPr>
              <w:rPr>
                <w:sz w:val="18"/>
                <w:szCs w:val="18"/>
                <w:lang w:eastAsia="zh-CN"/>
              </w:rPr>
            </w:pPr>
          </w:p>
        </w:tc>
        <w:tc>
          <w:tcPr>
            <w:tcW w:w="1067" w:type="dxa"/>
          </w:tcPr>
          <w:p w14:paraId="145103C7" w14:textId="77777777" w:rsidR="00535559" w:rsidRPr="009F1571" w:rsidRDefault="00535559" w:rsidP="00AE0C92">
            <w:pPr>
              <w:rPr>
                <w:sz w:val="18"/>
                <w:szCs w:val="18"/>
                <w:lang w:eastAsia="zh-CN"/>
              </w:rPr>
            </w:pPr>
          </w:p>
        </w:tc>
        <w:tc>
          <w:tcPr>
            <w:tcW w:w="1417" w:type="dxa"/>
          </w:tcPr>
          <w:p w14:paraId="030A9DAC" w14:textId="77777777" w:rsidR="00535559" w:rsidRPr="009F1571" w:rsidRDefault="00535559" w:rsidP="00AE0C92">
            <w:pPr>
              <w:rPr>
                <w:sz w:val="18"/>
                <w:szCs w:val="18"/>
                <w:lang w:eastAsia="zh-CN"/>
              </w:rPr>
            </w:pPr>
          </w:p>
        </w:tc>
        <w:tc>
          <w:tcPr>
            <w:tcW w:w="1076" w:type="dxa"/>
          </w:tcPr>
          <w:p w14:paraId="494F81B0" w14:textId="77777777" w:rsidR="00535559" w:rsidRPr="009F1571" w:rsidRDefault="00535559" w:rsidP="00AE0C92">
            <w:pPr>
              <w:rPr>
                <w:sz w:val="18"/>
                <w:szCs w:val="18"/>
                <w:lang w:eastAsia="zh-CN"/>
              </w:rPr>
            </w:pPr>
          </w:p>
        </w:tc>
        <w:tc>
          <w:tcPr>
            <w:tcW w:w="895" w:type="dxa"/>
          </w:tcPr>
          <w:p w14:paraId="0A2F0B3E" w14:textId="77777777" w:rsidR="00535559" w:rsidRPr="009F1571" w:rsidRDefault="00535559" w:rsidP="00AE0C92">
            <w:pPr>
              <w:rPr>
                <w:sz w:val="18"/>
                <w:szCs w:val="18"/>
                <w:lang w:eastAsia="zh-CN"/>
              </w:rPr>
            </w:pPr>
          </w:p>
        </w:tc>
        <w:tc>
          <w:tcPr>
            <w:tcW w:w="1026" w:type="dxa"/>
          </w:tcPr>
          <w:p w14:paraId="49CF0CE2" w14:textId="77777777" w:rsidR="00535559" w:rsidRPr="009F1571" w:rsidRDefault="00535559" w:rsidP="00AE0C92">
            <w:pPr>
              <w:rPr>
                <w:sz w:val="18"/>
                <w:szCs w:val="18"/>
                <w:lang w:eastAsia="zh-CN"/>
              </w:rPr>
            </w:pPr>
          </w:p>
        </w:tc>
        <w:tc>
          <w:tcPr>
            <w:tcW w:w="1605" w:type="dxa"/>
          </w:tcPr>
          <w:p w14:paraId="272E1F42" w14:textId="77777777" w:rsidR="00535559" w:rsidRPr="009F1571" w:rsidRDefault="00535559" w:rsidP="00AE0C92">
            <w:pPr>
              <w:rPr>
                <w:sz w:val="18"/>
                <w:szCs w:val="18"/>
                <w:lang w:eastAsia="zh-CN"/>
              </w:rPr>
            </w:pPr>
          </w:p>
        </w:tc>
      </w:tr>
      <w:tr w:rsidR="00535559" w:rsidRPr="009F1571" w14:paraId="60F44F08" w14:textId="77777777" w:rsidTr="00AE0C92">
        <w:trPr>
          <w:gridAfter w:val="1"/>
          <w:wAfter w:w="6" w:type="dxa"/>
          <w:trHeight w:val="304"/>
          <w:jc w:val="center"/>
        </w:trPr>
        <w:tc>
          <w:tcPr>
            <w:tcW w:w="1101" w:type="dxa"/>
          </w:tcPr>
          <w:p w14:paraId="3F129796" w14:textId="77777777" w:rsidR="00535559" w:rsidRPr="009F1571" w:rsidRDefault="00535559" w:rsidP="00AE0C92">
            <w:pPr>
              <w:spacing w:before="60" w:after="100" w:afterAutospacing="1"/>
              <w:rPr>
                <w:sz w:val="18"/>
                <w:szCs w:val="18"/>
                <w:lang w:eastAsia="zh-CN"/>
              </w:rPr>
            </w:pPr>
            <w:r w:rsidRPr="009F1571">
              <w:rPr>
                <w:sz w:val="18"/>
                <w:szCs w:val="18"/>
                <w:lang w:eastAsia="zh-CN"/>
              </w:rPr>
              <w:t xml:space="preserve">2510-2690 </w:t>
            </w:r>
          </w:p>
        </w:tc>
        <w:tc>
          <w:tcPr>
            <w:tcW w:w="939" w:type="dxa"/>
          </w:tcPr>
          <w:p w14:paraId="474E35ED" w14:textId="77777777" w:rsidR="00535559" w:rsidRPr="009F1571" w:rsidRDefault="00535559" w:rsidP="00AE0C92">
            <w:pPr>
              <w:spacing w:before="60" w:after="100" w:afterAutospacing="1"/>
              <w:jc w:val="center"/>
              <w:rPr>
                <w:sz w:val="18"/>
                <w:szCs w:val="18"/>
                <w:lang w:eastAsia="zh-CN"/>
              </w:rPr>
            </w:pPr>
          </w:p>
        </w:tc>
        <w:tc>
          <w:tcPr>
            <w:tcW w:w="1069" w:type="dxa"/>
          </w:tcPr>
          <w:p w14:paraId="1E77962C" w14:textId="77777777" w:rsidR="00535559" w:rsidRPr="009F1571" w:rsidRDefault="00535559" w:rsidP="00AE0C92">
            <w:pPr>
              <w:spacing w:before="60" w:after="100" w:afterAutospacing="1"/>
              <w:jc w:val="center"/>
              <w:rPr>
                <w:sz w:val="18"/>
                <w:szCs w:val="18"/>
                <w:lang w:eastAsia="zh-CN"/>
              </w:rPr>
            </w:pPr>
          </w:p>
        </w:tc>
        <w:tc>
          <w:tcPr>
            <w:tcW w:w="1067" w:type="dxa"/>
          </w:tcPr>
          <w:p w14:paraId="6CC8DDFD" w14:textId="77777777" w:rsidR="00535559" w:rsidRPr="009F1571" w:rsidRDefault="00535559" w:rsidP="00AE0C92">
            <w:pPr>
              <w:spacing w:before="60" w:after="100" w:afterAutospacing="1"/>
              <w:jc w:val="center"/>
              <w:rPr>
                <w:sz w:val="18"/>
                <w:szCs w:val="18"/>
                <w:lang w:eastAsia="zh-CN"/>
              </w:rPr>
            </w:pPr>
          </w:p>
        </w:tc>
        <w:tc>
          <w:tcPr>
            <w:tcW w:w="1417" w:type="dxa"/>
          </w:tcPr>
          <w:p w14:paraId="70F9221A" w14:textId="77777777" w:rsidR="00535559" w:rsidRPr="009F1571" w:rsidRDefault="00535559" w:rsidP="00AE0C92">
            <w:pPr>
              <w:spacing w:before="60" w:after="100" w:afterAutospacing="1"/>
              <w:jc w:val="center"/>
              <w:rPr>
                <w:sz w:val="18"/>
                <w:szCs w:val="18"/>
                <w:lang w:eastAsia="zh-CN"/>
              </w:rPr>
            </w:pPr>
          </w:p>
        </w:tc>
        <w:tc>
          <w:tcPr>
            <w:tcW w:w="1076" w:type="dxa"/>
          </w:tcPr>
          <w:p w14:paraId="209E2E91" w14:textId="77777777" w:rsidR="00535559" w:rsidRPr="009F1571" w:rsidRDefault="00535559" w:rsidP="00AE0C92">
            <w:pPr>
              <w:spacing w:before="60" w:after="100" w:afterAutospacing="1"/>
              <w:jc w:val="center"/>
              <w:rPr>
                <w:sz w:val="18"/>
                <w:szCs w:val="18"/>
                <w:lang w:eastAsia="zh-CN"/>
              </w:rPr>
            </w:pPr>
          </w:p>
        </w:tc>
        <w:tc>
          <w:tcPr>
            <w:tcW w:w="895" w:type="dxa"/>
          </w:tcPr>
          <w:p w14:paraId="6F6D3289" w14:textId="77777777" w:rsidR="00535559" w:rsidRPr="009F1571" w:rsidRDefault="00535559" w:rsidP="00AE0C92">
            <w:pPr>
              <w:spacing w:before="60" w:after="100" w:afterAutospacing="1"/>
              <w:jc w:val="center"/>
              <w:rPr>
                <w:sz w:val="18"/>
                <w:szCs w:val="18"/>
                <w:lang w:eastAsia="zh-CN"/>
              </w:rPr>
            </w:pPr>
          </w:p>
        </w:tc>
        <w:tc>
          <w:tcPr>
            <w:tcW w:w="1026" w:type="dxa"/>
          </w:tcPr>
          <w:p w14:paraId="4B38A502" w14:textId="77777777" w:rsidR="00535559" w:rsidRPr="009F1571" w:rsidRDefault="00535559" w:rsidP="00AE0C92">
            <w:pPr>
              <w:spacing w:before="60" w:after="100" w:afterAutospacing="1"/>
              <w:jc w:val="center"/>
              <w:rPr>
                <w:sz w:val="18"/>
                <w:szCs w:val="18"/>
                <w:lang w:eastAsia="zh-CN"/>
              </w:rPr>
            </w:pPr>
          </w:p>
        </w:tc>
        <w:tc>
          <w:tcPr>
            <w:tcW w:w="1605" w:type="dxa"/>
          </w:tcPr>
          <w:p w14:paraId="571F25A7" w14:textId="77777777" w:rsidR="00535559" w:rsidRPr="009F1571" w:rsidRDefault="00535559" w:rsidP="00AE0C92">
            <w:pPr>
              <w:spacing w:before="60" w:after="100" w:afterAutospacing="1"/>
              <w:jc w:val="center"/>
              <w:rPr>
                <w:sz w:val="18"/>
                <w:szCs w:val="18"/>
                <w:lang w:eastAsia="zh-CN"/>
              </w:rPr>
            </w:pPr>
          </w:p>
        </w:tc>
      </w:tr>
      <w:tr w:rsidR="00535559" w:rsidRPr="009F1571" w14:paraId="1343A905" w14:textId="77777777" w:rsidTr="00AE0C92">
        <w:trPr>
          <w:gridAfter w:val="1"/>
          <w:wAfter w:w="6" w:type="dxa"/>
          <w:trHeight w:val="304"/>
          <w:jc w:val="center"/>
        </w:trPr>
        <w:tc>
          <w:tcPr>
            <w:tcW w:w="1101" w:type="dxa"/>
          </w:tcPr>
          <w:p w14:paraId="1788DE2B" w14:textId="77777777" w:rsidR="00535559" w:rsidRPr="009F1571" w:rsidRDefault="00535559" w:rsidP="00AE0C92">
            <w:pPr>
              <w:spacing w:before="60" w:after="100" w:afterAutospacing="1"/>
              <w:rPr>
                <w:sz w:val="18"/>
                <w:szCs w:val="18"/>
                <w:lang w:eastAsia="zh-CN"/>
              </w:rPr>
            </w:pPr>
            <w:r w:rsidRPr="009F1571">
              <w:rPr>
                <w:sz w:val="18"/>
                <w:szCs w:val="18"/>
                <w:lang w:eastAsia="zh-CN"/>
              </w:rPr>
              <w:t xml:space="preserve">3300-3400 </w:t>
            </w:r>
          </w:p>
        </w:tc>
        <w:tc>
          <w:tcPr>
            <w:tcW w:w="939" w:type="dxa"/>
          </w:tcPr>
          <w:p w14:paraId="78BFDF8D" w14:textId="77777777" w:rsidR="00535559" w:rsidRPr="009F1571" w:rsidRDefault="00535559" w:rsidP="00AE0C92">
            <w:pPr>
              <w:spacing w:before="60" w:after="100" w:afterAutospacing="1"/>
              <w:jc w:val="center"/>
              <w:rPr>
                <w:sz w:val="18"/>
                <w:szCs w:val="18"/>
                <w:lang w:eastAsia="zh-CN"/>
              </w:rPr>
            </w:pPr>
          </w:p>
        </w:tc>
        <w:tc>
          <w:tcPr>
            <w:tcW w:w="1069" w:type="dxa"/>
          </w:tcPr>
          <w:p w14:paraId="73F00C72" w14:textId="77777777" w:rsidR="00535559" w:rsidRPr="009F1571" w:rsidRDefault="00535559" w:rsidP="00AE0C92">
            <w:pPr>
              <w:spacing w:before="60" w:after="100" w:afterAutospacing="1"/>
              <w:jc w:val="center"/>
              <w:rPr>
                <w:sz w:val="18"/>
                <w:szCs w:val="18"/>
                <w:lang w:eastAsia="zh-CN"/>
              </w:rPr>
            </w:pPr>
          </w:p>
        </w:tc>
        <w:tc>
          <w:tcPr>
            <w:tcW w:w="1067" w:type="dxa"/>
          </w:tcPr>
          <w:p w14:paraId="5B1A64BA" w14:textId="77777777" w:rsidR="00535559" w:rsidRPr="009F1571" w:rsidRDefault="00535559" w:rsidP="00AE0C92">
            <w:pPr>
              <w:spacing w:before="60" w:after="100" w:afterAutospacing="1"/>
              <w:jc w:val="center"/>
              <w:rPr>
                <w:sz w:val="18"/>
                <w:szCs w:val="18"/>
                <w:lang w:eastAsia="zh-CN"/>
              </w:rPr>
            </w:pPr>
          </w:p>
        </w:tc>
        <w:tc>
          <w:tcPr>
            <w:tcW w:w="1417" w:type="dxa"/>
          </w:tcPr>
          <w:p w14:paraId="1E972264" w14:textId="77777777" w:rsidR="00535559" w:rsidRPr="009F1571" w:rsidRDefault="00535559" w:rsidP="00AE0C92">
            <w:pPr>
              <w:spacing w:before="60" w:after="100" w:afterAutospacing="1"/>
              <w:jc w:val="center"/>
              <w:rPr>
                <w:sz w:val="18"/>
                <w:szCs w:val="18"/>
                <w:lang w:eastAsia="zh-CN"/>
              </w:rPr>
            </w:pPr>
          </w:p>
        </w:tc>
        <w:tc>
          <w:tcPr>
            <w:tcW w:w="1076" w:type="dxa"/>
          </w:tcPr>
          <w:p w14:paraId="270F229B" w14:textId="77777777" w:rsidR="00535559" w:rsidRPr="009F1571" w:rsidRDefault="00535559" w:rsidP="00AE0C92">
            <w:pPr>
              <w:spacing w:before="60" w:after="100" w:afterAutospacing="1"/>
              <w:jc w:val="center"/>
              <w:rPr>
                <w:sz w:val="18"/>
                <w:szCs w:val="18"/>
                <w:lang w:eastAsia="zh-CN"/>
              </w:rPr>
            </w:pPr>
          </w:p>
        </w:tc>
        <w:tc>
          <w:tcPr>
            <w:tcW w:w="895" w:type="dxa"/>
          </w:tcPr>
          <w:p w14:paraId="0AAF6AB4" w14:textId="77777777" w:rsidR="00535559" w:rsidRPr="009F1571" w:rsidRDefault="00535559" w:rsidP="00AE0C92">
            <w:pPr>
              <w:spacing w:before="60" w:after="100" w:afterAutospacing="1"/>
              <w:jc w:val="center"/>
              <w:rPr>
                <w:sz w:val="18"/>
                <w:szCs w:val="18"/>
                <w:lang w:eastAsia="zh-CN"/>
              </w:rPr>
            </w:pPr>
          </w:p>
        </w:tc>
        <w:tc>
          <w:tcPr>
            <w:tcW w:w="1026" w:type="dxa"/>
          </w:tcPr>
          <w:p w14:paraId="069D3F6E" w14:textId="77777777" w:rsidR="00535559" w:rsidRPr="009F1571" w:rsidRDefault="00535559" w:rsidP="00AE0C92">
            <w:pPr>
              <w:spacing w:before="60" w:after="100" w:afterAutospacing="1"/>
              <w:jc w:val="center"/>
              <w:rPr>
                <w:sz w:val="18"/>
                <w:szCs w:val="18"/>
                <w:lang w:eastAsia="zh-CN"/>
              </w:rPr>
            </w:pPr>
          </w:p>
        </w:tc>
        <w:tc>
          <w:tcPr>
            <w:tcW w:w="1605" w:type="dxa"/>
          </w:tcPr>
          <w:p w14:paraId="59970FBD" w14:textId="77777777" w:rsidR="00535559" w:rsidRPr="009F1571" w:rsidRDefault="00535559" w:rsidP="00AE0C92">
            <w:pPr>
              <w:spacing w:before="60" w:after="100" w:afterAutospacing="1"/>
              <w:jc w:val="center"/>
              <w:rPr>
                <w:sz w:val="18"/>
                <w:szCs w:val="18"/>
                <w:lang w:eastAsia="zh-CN"/>
              </w:rPr>
            </w:pPr>
          </w:p>
        </w:tc>
      </w:tr>
      <w:tr w:rsidR="00535559" w:rsidRPr="009F1571" w14:paraId="0885C803" w14:textId="77777777" w:rsidTr="00AE0C92">
        <w:trPr>
          <w:gridAfter w:val="1"/>
          <w:wAfter w:w="6" w:type="dxa"/>
          <w:trHeight w:val="304"/>
          <w:jc w:val="center"/>
        </w:trPr>
        <w:tc>
          <w:tcPr>
            <w:tcW w:w="1101" w:type="dxa"/>
          </w:tcPr>
          <w:p w14:paraId="25B7D2C0" w14:textId="77777777" w:rsidR="00535559" w:rsidRPr="009F1571" w:rsidRDefault="00535559" w:rsidP="00AE0C92">
            <w:pPr>
              <w:spacing w:before="60" w:after="100" w:afterAutospacing="1"/>
              <w:rPr>
                <w:sz w:val="18"/>
                <w:szCs w:val="18"/>
                <w:lang w:eastAsia="zh-CN"/>
              </w:rPr>
            </w:pPr>
            <w:r w:rsidRPr="009F1571">
              <w:rPr>
                <w:sz w:val="18"/>
                <w:szCs w:val="18"/>
                <w:lang w:eastAsia="zh-CN"/>
              </w:rPr>
              <w:t xml:space="preserve">3400-3600 </w:t>
            </w:r>
          </w:p>
        </w:tc>
        <w:tc>
          <w:tcPr>
            <w:tcW w:w="939" w:type="dxa"/>
          </w:tcPr>
          <w:p w14:paraId="181CD07E" w14:textId="77777777" w:rsidR="00535559" w:rsidRPr="009F1571" w:rsidRDefault="00535559" w:rsidP="00AE0C92">
            <w:pPr>
              <w:spacing w:before="60" w:after="100" w:afterAutospacing="1"/>
              <w:jc w:val="center"/>
              <w:rPr>
                <w:sz w:val="18"/>
                <w:szCs w:val="18"/>
                <w:lang w:eastAsia="zh-CN"/>
              </w:rPr>
            </w:pPr>
          </w:p>
        </w:tc>
        <w:tc>
          <w:tcPr>
            <w:tcW w:w="1069" w:type="dxa"/>
          </w:tcPr>
          <w:p w14:paraId="247722DA" w14:textId="77777777" w:rsidR="00535559" w:rsidRPr="009F1571" w:rsidRDefault="00535559" w:rsidP="00AE0C92">
            <w:pPr>
              <w:spacing w:before="60" w:after="100" w:afterAutospacing="1"/>
              <w:jc w:val="center"/>
              <w:rPr>
                <w:sz w:val="18"/>
                <w:szCs w:val="18"/>
                <w:lang w:eastAsia="zh-CN"/>
              </w:rPr>
            </w:pPr>
          </w:p>
        </w:tc>
        <w:tc>
          <w:tcPr>
            <w:tcW w:w="1067" w:type="dxa"/>
          </w:tcPr>
          <w:p w14:paraId="0980DE10" w14:textId="77777777" w:rsidR="00535559" w:rsidRPr="009F1571" w:rsidRDefault="00535559" w:rsidP="00AE0C92">
            <w:pPr>
              <w:spacing w:before="60" w:after="100" w:afterAutospacing="1"/>
              <w:jc w:val="center"/>
              <w:rPr>
                <w:sz w:val="18"/>
                <w:szCs w:val="18"/>
                <w:lang w:eastAsia="zh-CN"/>
              </w:rPr>
            </w:pPr>
          </w:p>
        </w:tc>
        <w:tc>
          <w:tcPr>
            <w:tcW w:w="1417" w:type="dxa"/>
          </w:tcPr>
          <w:p w14:paraId="2FD3CFA0" w14:textId="77777777" w:rsidR="00535559" w:rsidRPr="009F1571" w:rsidRDefault="00535559" w:rsidP="00AE0C92">
            <w:pPr>
              <w:spacing w:before="60" w:after="100" w:afterAutospacing="1"/>
              <w:jc w:val="center"/>
              <w:rPr>
                <w:sz w:val="18"/>
                <w:szCs w:val="18"/>
                <w:lang w:eastAsia="zh-CN"/>
              </w:rPr>
            </w:pPr>
          </w:p>
        </w:tc>
        <w:tc>
          <w:tcPr>
            <w:tcW w:w="1076" w:type="dxa"/>
          </w:tcPr>
          <w:p w14:paraId="6BD0EF5C" w14:textId="77777777" w:rsidR="00535559" w:rsidRPr="009F1571" w:rsidRDefault="00535559" w:rsidP="00AE0C92">
            <w:pPr>
              <w:spacing w:before="60" w:after="100" w:afterAutospacing="1"/>
              <w:jc w:val="center"/>
              <w:rPr>
                <w:sz w:val="18"/>
                <w:szCs w:val="18"/>
                <w:lang w:eastAsia="zh-CN"/>
              </w:rPr>
            </w:pPr>
          </w:p>
        </w:tc>
        <w:tc>
          <w:tcPr>
            <w:tcW w:w="895" w:type="dxa"/>
          </w:tcPr>
          <w:p w14:paraId="497B8C24" w14:textId="77777777" w:rsidR="00535559" w:rsidRPr="009F1571" w:rsidRDefault="00535559" w:rsidP="00AE0C92">
            <w:pPr>
              <w:spacing w:before="60" w:after="100" w:afterAutospacing="1"/>
              <w:jc w:val="center"/>
              <w:rPr>
                <w:sz w:val="18"/>
                <w:szCs w:val="18"/>
                <w:lang w:eastAsia="zh-CN"/>
              </w:rPr>
            </w:pPr>
          </w:p>
        </w:tc>
        <w:tc>
          <w:tcPr>
            <w:tcW w:w="1026" w:type="dxa"/>
          </w:tcPr>
          <w:p w14:paraId="23BC1453" w14:textId="77777777" w:rsidR="00535559" w:rsidRPr="009F1571" w:rsidRDefault="00535559" w:rsidP="00AE0C92">
            <w:pPr>
              <w:spacing w:before="60" w:after="100" w:afterAutospacing="1"/>
              <w:jc w:val="center"/>
              <w:rPr>
                <w:sz w:val="18"/>
                <w:szCs w:val="18"/>
                <w:lang w:eastAsia="zh-CN"/>
              </w:rPr>
            </w:pPr>
          </w:p>
        </w:tc>
        <w:tc>
          <w:tcPr>
            <w:tcW w:w="1605" w:type="dxa"/>
          </w:tcPr>
          <w:p w14:paraId="0164866E" w14:textId="77777777" w:rsidR="00535559" w:rsidRPr="009F1571" w:rsidRDefault="00535559" w:rsidP="00AE0C92">
            <w:pPr>
              <w:spacing w:before="60" w:after="100" w:afterAutospacing="1"/>
              <w:jc w:val="center"/>
              <w:rPr>
                <w:sz w:val="18"/>
                <w:szCs w:val="18"/>
                <w:lang w:eastAsia="zh-CN"/>
              </w:rPr>
            </w:pPr>
          </w:p>
        </w:tc>
      </w:tr>
    </w:tbl>
    <w:p w14:paraId="0F56C85A" w14:textId="77777777" w:rsidR="00535559" w:rsidRDefault="00535559" w:rsidP="00535559">
      <w:pPr>
        <w:tabs>
          <w:tab w:val="num" w:pos="720"/>
        </w:tabs>
      </w:pPr>
    </w:p>
    <w:p w14:paraId="0F50D896" w14:textId="77777777" w:rsidR="00535559" w:rsidRDefault="00535559" w:rsidP="00535559">
      <w:pPr>
        <w:tabs>
          <w:tab w:val="num" w:pos="720"/>
        </w:tabs>
        <w:ind w:left="600" w:hangingChars="250" w:hanging="600"/>
      </w:pPr>
      <w:r>
        <w:t xml:space="preserve">Q12. </w:t>
      </w:r>
      <w:r w:rsidRPr="005322FB">
        <w:t>Do you have any spectrum road map in your country? If yes, which parameters have been considered in preparing it?</w:t>
      </w:r>
    </w:p>
    <w:p w14:paraId="2B91B0F2" w14:textId="77777777" w:rsidR="00535559" w:rsidRDefault="00535559" w:rsidP="00535559">
      <w:pPr>
        <w:tabs>
          <w:tab w:val="num" w:pos="720"/>
        </w:tabs>
        <w:ind w:left="480" w:hangingChars="200" w:hanging="480"/>
      </w:pPr>
      <w:r>
        <w:rPr>
          <w:rFonts w:eastAsia="MS Mincho"/>
          <w:lang w:eastAsia="ja-JP" w:bidi="th-TH"/>
        </w:rPr>
        <w:t xml:space="preserve">Q13. </w:t>
      </w:r>
      <w:r w:rsidRPr="00914094">
        <w:rPr>
          <w:rFonts w:eastAsia="MS Mincho"/>
          <w:lang w:eastAsia="ja-JP" w:bidi="th-TH"/>
        </w:rPr>
        <w:t xml:space="preserve">Do you have planned or potential future </w:t>
      </w:r>
      <w:r w:rsidRPr="00914094">
        <w:rPr>
          <w:rFonts w:eastAsia="Malgun Gothic" w:hint="eastAsia"/>
          <w:lang w:bidi="th-TH"/>
        </w:rPr>
        <w:t>services</w:t>
      </w:r>
      <w:r w:rsidRPr="00914094">
        <w:rPr>
          <w:rFonts w:eastAsia="MS Mincho" w:hint="eastAsia"/>
          <w:lang w:eastAsia="ja-JP" w:bidi="th-TH"/>
        </w:rPr>
        <w:t xml:space="preserve"> and applications</w:t>
      </w:r>
      <w:r w:rsidRPr="00914094">
        <w:rPr>
          <w:rFonts w:eastAsia="Malgun Gothic"/>
          <w:lang w:bidi="th-TH"/>
        </w:rPr>
        <w:t xml:space="preserve"> </w:t>
      </w:r>
      <w:r>
        <w:rPr>
          <w:rFonts w:hint="eastAsia"/>
        </w:rPr>
        <w:t>in</w:t>
      </w:r>
      <w:r w:rsidRPr="00914094">
        <w:rPr>
          <w:rFonts w:eastAsia="MS Mincho"/>
          <w:lang w:eastAsia="ja-JP" w:bidi="th-TH"/>
        </w:rPr>
        <w:t xml:space="preserve"> </w:t>
      </w:r>
      <w:r w:rsidRPr="00914094">
        <w:rPr>
          <w:rFonts w:eastAsia="Malgun Gothic"/>
          <w:lang w:val="en-GB"/>
        </w:rPr>
        <w:t>the bands</w:t>
      </w:r>
      <w:r w:rsidRPr="00914094">
        <w:rPr>
          <w:rFonts w:hint="eastAsia"/>
          <w:lang w:val="en-GB" w:eastAsia="zh-CN"/>
        </w:rPr>
        <w:t xml:space="preserve"> listed </w:t>
      </w:r>
      <w:r w:rsidRPr="00914094">
        <w:rPr>
          <w:lang w:val="en-GB" w:eastAsia="zh-CN"/>
        </w:rPr>
        <w:t xml:space="preserve">in WRC-19 AI 1.13 </w:t>
      </w:r>
      <w:r w:rsidRPr="00914094">
        <w:rPr>
          <w:rFonts w:hint="eastAsia"/>
          <w:lang w:val="en-GB" w:eastAsia="zh-CN"/>
        </w:rPr>
        <w:t xml:space="preserve">(or part(s) bands), if YES, </w:t>
      </w:r>
      <w:r>
        <w:rPr>
          <w:rFonts w:hint="eastAsia"/>
          <w:lang w:eastAsia="zh-CN" w:bidi="th-TH"/>
        </w:rPr>
        <w:t>w</w:t>
      </w:r>
      <w:r w:rsidRPr="00914094">
        <w:rPr>
          <w:rFonts w:eastAsia="MS Mincho"/>
          <w:lang w:eastAsia="ja-JP" w:bidi="th-TH"/>
        </w:rPr>
        <w:t xml:space="preserve">hat is/are planned or potential future </w:t>
      </w:r>
      <w:r w:rsidRPr="00914094">
        <w:rPr>
          <w:rFonts w:eastAsia="Malgun Gothic"/>
          <w:lang w:bidi="th-TH"/>
        </w:rPr>
        <w:t>services</w:t>
      </w:r>
      <w:r w:rsidRPr="00914094">
        <w:rPr>
          <w:rFonts w:eastAsia="MS Mincho"/>
          <w:lang w:eastAsia="ja-JP" w:bidi="th-TH"/>
        </w:rPr>
        <w:t xml:space="preserve"> </w:t>
      </w:r>
      <w:r w:rsidRPr="00914094">
        <w:rPr>
          <w:rFonts w:eastAsia="MS Mincho" w:hint="eastAsia"/>
          <w:lang w:eastAsia="ja-JP" w:bidi="th-TH"/>
        </w:rPr>
        <w:t xml:space="preserve">and applications </w:t>
      </w:r>
      <w:r>
        <w:rPr>
          <w:rFonts w:hint="eastAsia"/>
        </w:rPr>
        <w:t>in</w:t>
      </w:r>
      <w:r w:rsidRPr="00914094">
        <w:rPr>
          <w:rFonts w:eastAsia="MS Mincho"/>
          <w:lang w:eastAsia="ja-JP" w:bidi="th-TH"/>
        </w:rPr>
        <w:t xml:space="preserve"> </w:t>
      </w:r>
      <w:r w:rsidRPr="00914094">
        <w:rPr>
          <w:rFonts w:eastAsia="Malgun Gothic"/>
          <w:lang w:val="en-GB"/>
        </w:rPr>
        <w:t>the bands</w:t>
      </w:r>
      <w:r w:rsidRPr="00914094">
        <w:rPr>
          <w:rFonts w:hint="eastAsia"/>
          <w:lang w:val="en-GB" w:eastAsia="zh-CN"/>
        </w:rPr>
        <w:t>?</w:t>
      </w:r>
      <w:r w:rsidRPr="00914094">
        <w:rPr>
          <w:rFonts w:eastAsia="Malgun Gothic"/>
          <w:lang w:val="en-GB"/>
        </w:rPr>
        <w:t xml:space="preserve"> </w:t>
      </w:r>
      <w:r>
        <w:t xml:space="preserve"> </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963"/>
        <w:gridCol w:w="2131"/>
        <w:gridCol w:w="2300"/>
      </w:tblGrid>
      <w:tr w:rsidR="00535559" w:rsidRPr="00F24907" w14:paraId="0938F017" w14:textId="77777777" w:rsidTr="00AE0C92">
        <w:trPr>
          <w:trHeight w:val="1043"/>
          <w:jc w:val="center"/>
        </w:trPr>
        <w:tc>
          <w:tcPr>
            <w:tcW w:w="1963" w:type="dxa"/>
          </w:tcPr>
          <w:p w14:paraId="0F3E09D3" w14:textId="77777777" w:rsidR="00535559" w:rsidRDefault="00535559" w:rsidP="00AE0C92">
            <w:pPr>
              <w:spacing w:before="60"/>
              <w:jc w:val="center"/>
              <w:rPr>
                <w:rFonts w:eastAsia="SimSun"/>
                <w:b/>
                <w:lang w:eastAsia="zh-CN"/>
              </w:rPr>
            </w:pPr>
            <w:r>
              <w:rPr>
                <w:rFonts w:eastAsia="SimSun"/>
                <w:b/>
                <w:sz w:val="22"/>
                <w:lang w:eastAsia="zh-CN"/>
              </w:rPr>
              <w:t xml:space="preserve">Frequency </w:t>
            </w:r>
          </w:p>
          <w:p w14:paraId="5A0B8D93" w14:textId="77777777" w:rsidR="00535559" w:rsidRDefault="00535559" w:rsidP="00AE0C92">
            <w:pPr>
              <w:spacing w:before="60"/>
              <w:jc w:val="center"/>
              <w:rPr>
                <w:rFonts w:eastAsia="SimSun"/>
                <w:b/>
                <w:lang w:eastAsia="zh-CN"/>
              </w:rPr>
            </w:pPr>
            <w:r>
              <w:rPr>
                <w:rFonts w:eastAsia="SimSun"/>
                <w:b/>
                <w:sz w:val="22"/>
                <w:lang w:eastAsia="zh-CN"/>
              </w:rPr>
              <w:t>Ranges</w:t>
            </w:r>
          </w:p>
        </w:tc>
        <w:tc>
          <w:tcPr>
            <w:tcW w:w="1963" w:type="dxa"/>
          </w:tcPr>
          <w:p w14:paraId="08431F27" w14:textId="77777777" w:rsidR="00535559" w:rsidRDefault="00535559" w:rsidP="00AE0C92">
            <w:pPr>
              <w:spacing w:before="60"/>
              <w:jc w:val="center"/>
              <w:rPr>
                <w:rFonts w:eastAsia="SimSun"/>
                <w:b/>
                <w:lang w:eastAsia="zh-CN"/>
              </w:rPr>
            </w:pPr>
            <w:r>
              <w:rPr>
                <w:rFonts w:eastAsia="SimSun"/>
                <w:b/>
                <w:sz w:val="22"/>
                <w:lang w:eastAsia="zh-CN"/>
              </w:rPr>
              <w:t>Sub</w:t>
            </w:r>
          </w:p>
          <w:p w14:paraId="120ED5C4" w14:textId="77777777" w:rsidR="00535559" w:rsidRPr="00F24907" w:rsidRDefault="00535559" w:rsidP="00AE0C92">
            <w:pPr>
              <w:spacing w:before="60"/>
              <w:jc w:val="center"/>
              <w:rPr>
                <w:rFonts w:eastAsia="SimSun"/>
                <w:b/>
                <w:lang w:eastAsia="zh-CN"/>
              </w:rPr>
            </w:pPr>
            <w:r>
              <w:rPr>
                <w:rFonts w:eastAsia="SimSun"/>
                <w:b/>
                <w:sz w:val="22"/>
                <w:lang w:eastAsia="zh-CN"/>
              </w:rPr>
              <w:t>Ranges</w:t>
            </w:r>
          </w:p>
        </w:tc>
        <w:tc>
          <w:tcPr>
            <w:tcW w:w="2131" w:type="dxa"/>
          </w:tcPr>
          <w:p w14:paraId="5E2B7553" w14:textId="77777777" w:rsidR="00535559" w:rsidRPr="00022938" w:rsidRDefault="00535559" w:rsidP="00AE0C92">
            <w:pPr>
              <w:spacing w:before="60"/>
              <w:jc w:val="center"/>
              <w:rPr>
                <w:rFonts w:eastAsia="SimSun"/>
                <w:b/>
                <w:lang w:eastAsia="zh-CN"/>
              </w:rPr>
            </w:pPr>
            <w:r w:rsidRPr="00D32BE8">
              <w:rPr>
                <w:rFonts w:eastAsia="MS Mincho" w:hint="eastAsia"/>
                <w:b/>
                <w:sz w:val="22"/>
                <w:lang w:eastAsia="ja-JP"/>
              </w:rPr>
              <w:t>Planned/</w:t>
            </w:r>
            <w:r w:rsidRPr="00F24907">
              <w:rPr>
                <w:rFonts w:eastAsia="SimSun"/>
                <w:b/>
                <w:sz w:val="22"/>
                <w:lang w:eastAsia="zh-CN"/>
              </w:rPr>
              <w:t xml:space="preserve">Future </w:t>
            </w:r>
            <w:r>
              <w:rPr>
                <w:rFonts w:eastAsia="MS Mincho" w:hint="eastAsia"/>
                <w:b/>
                <w:sz w:val="22"/>
                <w:lang w:eastAsia="ja-JP"/>
              </w:rPr>
              <w:t>s</w:t>
            </w:r>
            <w:r w:rsidRPr="00F24907">
              <w:rPr>
                <w:rFonts w:eastAsia="SimSun"/>
                <w:b/>
                <w:sz w:val="22"/>
                <w:lang w:eastAsia="zh-CN"/>
              </w:rPr>
              <w:t>ervices</w:t>
            </w:r>
            <w:r>
              <w:rPr>
                <w:rFonts w:eastAsia="MS Mincho" w:hint="eastAsia"/>
                <w:b/>
                <w:sz w:val="22"/>
                <w:lang w:eastAsia="ja-JP"/>
              </w:rPr>
              <w:t xml:space="preserve"> and applications </w:t>
            </w:r>
          </w:p>
        </w:tc>
        <w:tc>
          <w:tcPr>
            <w:tcW w:w="2300" w:type="dxa"/>
          </w:tcPr>
          <w:p w14:paraId="4440E90A" w14:textId="77777777" w:rsidR="00535559" w:rsidRPr="00F24907" w:rsidRDefault="00535559" w:rsidP="00AE0C92">
            <w:pPr>
              <w:spacing w:before="60"/>
              <w:jc w:val="center"/>
              <w:rPr>
                <w:rFonts w:eastAsia="SimSun"/>
                <w:b/>
                <w:lang w:eastAsia="zh-CN"/>
              </w:rPr>
            </w:pPr>
            <w:r w:rsidRPr="00F24907">
              <w:rPr>
                <w:rFonts w:eastAsia="SimSun"/>
                <w:b/>
                <w:sz w:val="22"/>
                <w:lang w:eastAsia="zh-CN"/>
              </w:rPr>
              <w:t>Timeline</w:t>
            </w:r>
          </w:p>
        </w:tc>
      </w:tr>
      <w:tr w:rsidR="00535559" w:rsidRPr="00F24907" w14:paraId="3275F447" w14:textId="77777777" w:rsidTr="00AE0C92">
        <w:trPr>
          <w:trHeight w:val="350"/>
          <w:jc w:val="center"/>
        </w:trPr>
        <w:tc>
          <w:tcPr>
            <w:tcW w:w="1963" w:type="dxa"/>
            <w:vMerge w:val="restart"/>
          </w:tcPr>
          <w:p w14:paraId="685F5275" w14:textId="77777777" w:rsidR="00535559" w:rsidRDefault="00535559" w:rsidP="00AE0C92">
            <w:pPr>
              <w:spacing w:before="60"/>
              <w:jc w:val="center"/>
              <w:rPr>
                <w:lang w:eastAsia="zh-CN"/>
              </w:rPr>
            </w:pPr>
            <w:r>
              <w:rPr>
                <w:sz w:val="22"/>
                <w:lang w:eastAsia="zh-CN"/>
              </w:rPr>
              <w:t>24.25-27.5 GHz</w:t>
            </w:r>
          </w:p>
        </w:tc>
        <w:tc>
          <w:tcPr>
            <w:tcW w:w="1963" w:type="dxa"/>
            <w:vMerge w:val="restart"/>
          </w:tcPr>
          <w:p w14:paraId="2BEB43DF" w14:textId="77777777" w:rsidR="00535559" w:rsidRDefault="00535559" w:rsidP="00AE0C92">
            <w:pPr>
              <w:spacing w:before="60"/>
              <w:jc w:val="center"/>
              <w:rPr>
                <w:lang w:eastAsia="zh-CN"/>
              </w:rPr>
            </w:pPr>
            <w:r>
              <w:rPr>
                <w:rFonts w:hint="eastAsia"/>
                <w:sz w:val="22"/>
                <w:lang w:eastAsia="zh-CN"/>
              </w:rPr>
              <w:t xml:space="preserve">aa-bb </w:t>
            </w:r>
            <w:r>
              <w:rPr>
                <w:sz w:val="22"/>
                <w:lang w:eastAsia="zh-CN"/>
              </w:rPr>
              <w:t>G</w:t>
            </w:r>
            <w:r>
              <w:rPr>
                <w:rFonts w:hint="eastAsia"/>
                <w:sz w:val="22"/>
                <w:lang w:eastAsia="zh-CN"/>
              </w:rPr>
              <w:t>Hz</w:t>
            </w:r>
          </w:p>
          <w:p w14:paraId="7B979507" w14:textId="77777777" w:rsidR="00535559" w:rsidRPr="00341E29" w:rsidRDefault="00535559" w:rsidP="00AE0C92">
            <w:pPr>
              <w:spacing w:before="60"/>
              <w:jc w:val="center"/>
              <w:rPr>
                <w:lang w:eastAsia="zh-CN"/>
              </w:rPr>
            </w:pPr>
          </w:p>
        </w:tc>
        <w:tc>
          <w:tcPr>
            <w:tcW w:w="2131" w:type="dxa"/>
          </w:tcPr>
          <w:p w14:paraId="013D37A4" w14:textId="77777777" w:rsidR="00535559" w:rsidRPr="00A51BF7" w:rsidRDefault="00535559" w:rsidP="00AE0C92">
            <w:pPr>
              <w:spacing w:before="60"/>
              <w:rPr>
                <w:lang w:eastAsia="zh-CN"/>
              </w:rPr>
            </w:pPr>
            <w:r>
              <w:rPr>
                <w:rFonts w:hint="eastAsia"/>
                <w:sz w:val="22"/>
                <w:lang w:eastAsia="zh-CN"/>
              </w:rPr>
              <w:t>1</w:t>
            </w:r>
          </w:p>
        </w:tc>
        <w:tc>
          <w:tcPr>
            <w:tcW w:w="2300" w:type="dxa"/>
          </w:tcPr>
          <w:p w14:paraId="248C3911" w14:textId="77777777" w:rsidR="00535559" w:rsidRPr="00F24907" w:rsidRDefault="00535559" w:rsidP="00AE0C92">
            <w:pPr>
              <w:spacing w:before="60"/>
              <w:rPr>
                <w:rFonts w:eastAsia="MS PGothic"/>
              </w:rPr>
            </w:pPr>
          </w:p>
        </w:tc>
      </w:tr>
      <w:tr w:rsidR="00535559" w:rsidRPr="00F24907" w14:paraId="2B51212B" w14:textId="77777777" w:rsidTr="00AE0C92">
        <w:trPr>
          <w:trHeight w:val="304"/>
          <w:jc w:val="center"/>
        </w:trPr>
        <w:tc>
          <w:tcPr>
            <w:tcW w:w="1963" w:type="dxa"/>
            <w:vMerge/>
          </w:tcPr>
          <w:p w14:paraId="7229287C" w14:textId="77777777" w:rsidR="00535559" w:rsidRPr="00637B40" w:rsidRDefault="00535559" w:rsidP="00AE0C92">
            <w:pPr>
              <w:spacing w:before="60"/>
              <w:jc w:val="center"/>
              <w:rPr>
                <w:rFonts w:eastAsia="MS PGothic"/>
                <w:lang w:eastAsia="zh-CN"/>
              </w:rPr>
            </w:pPr>
          </w:p>
        </w:tc>
        <w:tc>
          <w:tcPr>
            <w:tcW w:w="1963" w:type="dxa"/>
            <w:vMerge/>
          </w:tcPr>
          <w:p w14:paraId="300319B1" w14:textId="77777777" w:rsidR="00535559" w:rsidRPr="00637B40" w:rsidRDefault="00535559" w:rsidP="00AE0C92">
            <w:pPr>
              <w:spacing w:before="60"/>
              <w:jc w:val="center"/>
              <w:rPr>
                <w:rFonts w:eastAsia="MS PGothic"/>
                <w:lang w:eastAsia="zh-CN"/>
              </w:rPr>
            </w:pPr>
          </w:p>
        </w:tc>
        <w:tc>
          <w:tcPr>
            <w:tcW w:w="2131" w:type="dxa"/>
          </w:tcPr>
          <w:p w14:paraId="01FD681B" w14:textId="77777777" w:rsidR="00535559" w:rsidRDefault="00535559" w:rsidP="00AE0C92">
            <w:pPr>
              <w:spacing w:before="60"/>
              <w:rPr>
                <w:lang w:eastAsia="zh-CN"/>
              </w:rPr>
            </w:pPr>
            <w:r>
              <w:rPr>
                <w:rFonts w:hint="eastAsia"/>
                <w:sz w:val="22"/>
                <w:lang w:eastAsia="zh-CN"/>
              </w:rPr>
              <w:t>2</w:t>
            </w:r>
          </w:p>
        </w:tc>
        <w:tc>
          <w:tcPr>
            <w:tcW w:w="2300" w:type="dxa"/>
          </w:tcPr>
          <w:p w14:paraId="718F8E40" w14:textId="77777777" w:rsidR="00535559" w:rsidRPr="00F24907" w:rsidRDefault="00535559" w:rsidP="00AE0C92">
            <w:pPr>
              <w:spacing w:before="60"/>
              <w:rPr>
                <w:rFonts w:eastAsia="MS PGothic"/>
              </w:rPr>
            </w:pPr>
          </w:p>
        </w:tc>
      </w:tr>
      <w:tr w:rsidR="00535559" w:rsidRPr="00F24907" w14:paraId="7F1BA304" w14:textId="77777777" w:rsidTr="00AE0C92">
        <w:trPr>
          <w:trHeight w:val="304"/>
          <w:jc w:val="center"/>
        </w:trPr>
        <w:tc>
          <w:tcPr>
            <w:tcW w:w="1963" w:type="dxa"/>
            <w:vMerge/>
          </w:tcPr>
          <w:p w14:paraId="62723906" w14:textId="77777777" w:rsidR="00535559" w:rsidRPr="00637B40" w:rsidRDefault="00535559" w:rsidP="00AE0C92">
            <w:pPr>
              <w:spacing w:before="60"/>
              <w:jc w:val="center"/>
              <w:rPr>
                <w:rFonts w:eastAsia="MS PGothic"/>
                <w:lang w:eastAsia="zh-CN"/>
              </w:rPr>
            </w:pPr>
          </w:p>
        </w:tc>
        <w:tc>
          <w:tcPr>
            <w:tcW w:w="1963" w:type="dxa"/>
            <w:vMerge/>
          </w:tcPr>
          <w:p w14:paraId="5302832E" w14:textId="77777777" w:rsidR="00535559" w:rsidRPr="00637B40" w:rsidRDefault="00535559" w:rsidP="00AE0C92">
            <w:pPr>
              <w:spacing w:before="60"/>
              <w:jc w:val="center"/>
              <w:rPr>
                <w:rFonts w:eastAsia="MS PGothic"/>
                <w:lang w:eastAsia="zh-CN"/>
              </w:rPr>
            </w:pPr>
          </w:p>
        </w:tc>
        <w:tc>
          <w:tcPr>
            <w:tcW w:w="2131" w:type="dxa"/>
          </w:tcPr>
          <w:p w14:paraId="226F5A0C" w14:textId="77777777" w:rsidR="00535559" w:rsidRPr="00A51BF7" w:rsidRDefault="00535559" w:rsidP="00AE0C92">
            <w:pPr>
              <w:spacing w:before="60"/>
              <w:rPr>
                <w:lang w:eastAsia="zh-CN"/>
              </w:rPr>
            </w:pPr>
            <w:r>
              <w:rPr>
                <w:sz w:val="22"/>
                <w:lang w:eastAsia="zh-CN"/>
              </w:rPr>
              <w:t>…</w:t>
            </w:r>
          </w:p>
        </w:tc>
        <w:tc>
          <w:tcPr>
            <w:tcW w:w="2300" w:type="dxa"/>
          </w:tcPr>
          <w:p w14:paraId="24DE4C23" w14:textId="77777777" w:rsidR="00535559" w:rsidRPr="00F24907" w:rsidRDefault="00535559" w:rsidP="00AE0C92">
            <w:pPr>
              <w:spacing w:before="60"/>
              <w:rPr>
                <w:rFonts w:eastAsia="MS PGothic"/>
              </w:rPr>
            </w:pPr>
          </w:p>
        </w:tc>
      </w:tr>
      <w:tr w:rsidR="00535559" w:rsidRPr="00F24907" w14:paraId="7BA53C6E" w14:textId="77777777" w:rsidTr="00AE0C92">
        <w:trPr>
          <w:trHeight w:val="304"/>
          <w:jc w:val="center"/>
        </w:trPr>
        <w:tc>
          <w:tcPr>
            <w:tcW w:w="1963" w:type="dxa"/>
            <w:vMerge/>
          </w:tcPr>
          <w:p w14:paraId="6249DB85" w14:textId="77777777" w:rsidR="00535559" w:rsidRDefault="00535559" w:rsidP="00AE0C92">
            <w:pPr>
              <w:spacing w:before="60"/>
              <w:jc w:val="center"/>
              <w:rPr>
                <w:lang w:eastAsia="zh-CN"/>
              </w:rPr>
            </w:pPr>
          </w:p>
        </w:tc>
        <w:tc>
          <w:tcPr>
            <w:tcW w:w="1963" w:type="dxa"/>
          </w:tcPr>
          <w:p w14:paraId="46775BF3" w14:textId="77777777" w:rsidR="00535559" w:rsidRPr="00341E29" w:rsidRDefault="00535559" w:rsidP="00AE0C92">
            <w:pPr>
              <w:spacing w:before="60"/>
              <w:jc w:val="center"/>
              <w:rPr>
                <w:lang w:eastAsia="zh-CN"/>
              </w:rPr>
            </w:pPr>
            <w:r>
              <w:rPr>
                <w:sz w:val="22"/>
                <w:lang w:eastAsia="zh-CN"/>
              </w:rPr>
              <w:t>cc-dd GHz</w:t>
            </w:r>
          </w:p>
        </w:tc>
        <w:tc>
          <w:tcPr>
            <w:tcW w:w="2131" w:type="dxa"/>
          </w:tcPr>
          <w:p w14:paraId="6C0F62ED" w14:textId="77777777" w:rsidR="00535559" w:rsidRPr="00F24907" w:rsidRDefault="00535559" w:rsidP="00AE0C92">
            <w:pPr>
              <w:spacing w:before="60"/>
              <w:rPr>
                <w:rFonts w:eastAsia="MS PGothic"/>
              </w:rPr>
            </w:pPr>
          </w:p>
        </w:tc>
        <w:tc>
          <w:tcPr>
            <w:tcW w:w="2300" w:type="dxa"/>
          </w:tcPr>
          <w:p w14:paraId="2552FC49" w14:textId="77777777" w:rsidR="00535559" w:rsidRPr="00F24907" w:rsidRDefault="00535559" w:rsidP="00AE0C92">
            <w:pPr>
              <w:spacing w:before="60"/>
              <w:rPr>
                <w:rFonts w:eastAsia="MS PGothic"/>
              </w:rPr>
            </w:pPr>
          </w:p>
        </w:tc>
      </w:tr>
      <w:tr w:rsidR="00535559" w:rsidRPr="00F24907" w14:paraId="752A0A9F" w14:textId="77777777" w:rsidTr="00AE0C92">
        <w:trPr>
          <w:trHeight w:val="304"/>
          <w:jc w:val="center"/>
        </w:trPr>
        <w:tc>
          <w:tcPr>
            <w:tcW w:w="1963" w:type="dxa"/>
            <w:vMerge/>
          </w:tcPr>
          <w:p w14:paraId="0D0C45D8" w14:textId="77777777" w:rsidR="00535559" w:rsidRDefault="00535559" w:rsidP="00AE0C92">
            <w:pPr>
              <w:spacing w:before="60"/>
              <w:jc w:val="center"/>
              <w:rPr>
                <w:lang w:eastAsia="zh-CN"/>
              </w:rPr>
            </w:pPr>
          </w:p>
        </w:tc>
        <w:tc>
          <w:tcPr>
            <w:tcW w:w="1963" w:type="dxa"/>
          </w:tcPr>
          <w:p w14:paraId="2AE028F1" w14:textId="77777777" w:rsidR="00535559" w:rsidRDefault="00535559" w:rsidP="00AE0C92">
            <w:pPr>
              <w:spacing w:before="60"/>
              <w:jc w:val="center"/>
              <w:rPr>
                <w:lang w:eastAsia="zh-CN"/>
              </w:rPr>
            </w:pPr>
            <w:r>
              <w:rPr>
                <w:sz w:val="22"/>
                <w:lang w:eastAsia="zh-CN"/>
              </w:rPr>
              <w:t>……</w:t>
            </w:r>
          </w:p>
        </w:tc>
        <w:tc>
          <w:tcPr>
            <w:tcW w:w="2131" w:type="dxa"/>
          </w:tcPr>
          <w:p w14:paraId="748F653D" w14:textId="77777777" w:rsidR="00535559" w:rsidRPr="00F24907" w:rsidRDefault="00535559" w:rsidP="00AE0C92">
            <w:pPr>
              <w:spacing w:before="60"/>
              <w:rPr>
                <w:rFonts w:eastAsia="MS PGothic"/>
              </w:rPr>
            </w:pPr>
          </w:p>
        </w:tc>
        <w:tc>
          <w:tcPr>
            <w:tcW w:w="2300" w:type="dxa"/>
          </w:tcPr>
          <w:p w14:paraId="3C2BBE23" w14:textId="77777777" w:rsidR="00535559" w:rsidRPr="00F24907" w:rsidRDefault="00535559" w:rsidP="00AE0C92">
            <w:pPr>
              <w:spacing w:before="60"/>
              <w:rPr>
                <w:rFonts w:eastAsia="MS PGothic"/>
              </w:rPr>
            </w:pPr>
          </w:p>
        </w:tc>
      </w:tr>
      <w:tr w:rsidR="00535559" w:rsidRPr="00F24907" w14:paraId="5C0D016D" w14:textId="77777777" w:rsidTr="00AE0C92">
        <w:trPr>
          <w:trHeight w:val="304"/>
          <w:jc w:val="center"/>
        </w:trPr>
        <w:tc>
          <w:tcPr>
            <w:tcW w:w="1963" w:type="dxa"/>
          </w:tcPr>
          <w:p w14:paraId="68E661A8" w14:textId="77777777" w:rsidR="00535559" w:rsidRDefault="00535559" w:rsidP="00AE0C92">
            <w:pPr>
              <w:spacing w:before="60"/>
              <w:jc w:val="center"/>
              <w:rPr>
                <w:lang w:eastAsia="zh-CN"/>
              </w:rPr>
            </w:pPr>
            <w:r>
              <w:rPr>
                <w:sz w:val="22"/>
                <w:lang w:eastAsia="zh-CN"/>
              </w:rPr>
              <w:t>31.8-33.4 GHz</w:t>
            </w:r>
          </w:p>
        </w:tc>
        <w:tc>
          <w:tcPr>
            <w:tcW w:w="1963" w:type="dxa"/>
          </w:tcPr>
          <w:p w14:paraId="693D5973" w14:textId="77777777" w:rsidR="00535559" w:rsidRDefault="00535559" w:rsidP="00AE0C92">
            <w:pPr>
              <w:spacing w:before="60"/>
              <w:jc w:val="center"/>
              <w:rPr>
                <w:lang w:eastAsia="zh-CN"/>
              </w:rPr>
            </w:pPr>
          </w:p>
        </w:tc>
        <w:tc>
          <w:tcPr>
            <w:tcW w:w="2131" w:type="dxa"/>
          </w:tcPr>
          <w:p w14:paraId="719D6E6F" w14:textId="77777777" w:rsidR="00535559" w:rsidRPr="00F24907" w:rsidRDefault="00535559" w:rsidP="00AE0C92">
            <w:pPr>
              <w:spacing w:before="60"/>
              <w:rPr>
                <w:rFonts w:eastAsia="MS PGothic"/>
              </w:rPr>
            </w:pPr>
          </w:p>
        </w:tc>
        <w:tc>
          <w:tcPr>
            <w:tcW w:w="2300" w:type="dxa"/>
          </w:tcPr>
          <w:p w14:paraId="3FA29A7A" w14:textId="77777777" w:rsidR="00535559" w:rsidRPr="00F24907" w:rsidRDefault="00535559" w:rsidP="00AE0C92">
            <w:pPr>
              <w:spacing w:before="60"/>
              <w:rPr>
                <w:rFonts w:eastAsia="MS PGothic"/>
              </w:rPr>
            </w:pPr>
          </w:p>
        </w:tc>
      </w:tr>
      <w:tr w:rsidR="00535559" w:rsidRPr="00F24907" w14:paraId="078FAE1E" w14:textId="77777777" w:rsidTr="00AE0C92">
        <w:trPr>
          <w:trHeight w:val="304"/>
          <w:jc w:val="center"/>
        </w:trPr>
        <w:tc>
          <w:tcPr>
            <w:tcW w:w="1963" w:type="dxa"/>
          </w:tcPr>
          <w:p w14:paraId="79FC9AE5" w14:textId="77777777" w:rsidR="00535559" w:rsidRDefault="00535559" w:rsidP="00AE0C92">
            <w:pPr>
              <w:spacing w:before="60"/>
              <w:jc w:val="center"/>
              <w:rPr>
                <w:lang w:eastAsia="zh-CN"/>
              </w:rPr>
            </w:pPr>
            <w:r>
              <w:rPr>
                <w:sz w:val="22"/>
                <w:lang w:eastAsia="zh-CN"/>
              </w:rPr>
              <w:t>37-43.5 GHz</w:t>
            </w:r>
          </w:p>
        </w:tc>
        <w:tc>
          <w:tcPr>
            <w:tcW w:w="1963" w:type="dxa"/>
          </w:tcPr>
          <w:p w14:paraId="6ACF3D66" w14:textId="77777777" w:rsidR="00535559" w:rsidRDefault="00535559" w:rsidP="00AE0C92">
            <w:pPr>
              <w:spacing w:before="60"/>
              <w:jc w:val="center"/>
              <w:rPr>
                <w:lang w:eastAsia="zh-CN"/>
              </w:rPr>
            </w:pPr>
          </w:p>
        </w:tc>
        <w:tc>
          <w:tcPr>
            <w:tcW w:w="2131" w:type="dxa"/>
          </w:tcPr>
          <w:p w14:paraId="2B7355C9" w14:textId="77777777" w:rsidR="00535559" w:rsidRPr="00F24907" w:rsidRDefault="00535559" w:rsidP="00AE0C92">
            <w:pPr>
              <w:spacing w:before="60"/>
              <w:rPr>
                <w:rFonts w:eastAsia="MS PGothic"/>
              </w:rPr>
            </w:pPr>
          </w:p>
        </w:tc>
        <w:tc>
          <w:tcPr>
            <w:tcW w:w="2300" w:type="dxa"/>
          </w:tcPr>
          <w:p w14:paraId="02AED0DF" w14:textId="77777777" w:rsidR="00535559" w:rsidRPr="00F24907" w:rsidRDefault="00535559" w:rsidP="00AE0C92">
            <w:pPr>
              <w:spacing w:before="60"/>
              <w:rPr>
                <w:rFonts w:eastAsia="MS PGothic"/>
              </w:rPr>
            </w:pPr>
          </w:p>
        </w:tc>
      </w:tr>
      <w:tr w:rsidR="00535559" w:rsidRPr="00F24907" w14:paraId="1BC4CC17" w14:textId="77777777" w:rsidTr="00AE0C92">
        <w:trPr>
          <w:trHeight w:val="304"/>
          <w:jc w:val="center"/>
        </w:trPr>
        <w:tc>
          <w:tcPr>
            <w:tcW w:w="1963" w:type="dxa"/>
          </w:tcPr>
          <w:p w14:paraId="2E1763BB" w14:textId="77777777" w:rsidR="00535559" w:rsidRDefault="00535559" w:rsidP="00AE0C92">
            <w:pPr>
              <w:spacing w:before="60"/>
              <w:jc w:val="center"/>
              <w:rPr>
                <w:lang w:eastAsia="zh-CN"/>
              </w:rPr>
            </w:pPr>
            <w:r>
              <w:rPr>
                <w:sz w:val="22"/>
                <w:lang w:eastAsia="zh-CN"/>
              </w:rPr>
              <w:t>45.5-50.2GHz</w:t>
            </w:r>
          </w:p>
          <w:p w14:paraId="5259DB8F" w14:textId="77777777" w:rsidR="00535559" w:rsidRDefault="00535559" w:rsidP="00AE0C92">
            <w:pPr>
              <w:spacing w:before="60"/>
              <w:jc w:val="center"/>
              <w:rPr>
                <w:lang w:eastAsia="zh-CN"/>
              </w:rPr>
            </w:pPr>
            <w:r>
              <w:rPr>
                <w:sz w:val="22"/>
                <w:lang w:eastAsia="zh-CN"/>
              </w:rPr>
              <w:t>50.4-52.6GHz</w:t>
            </w:r>
          </w:p>
        </w:tc>
        <w:tc>
          <w:tcPr>
            <w:tcW w:w="1963" w:type="dxa"/>
          </w:tcPr>
          <w:p w14:paraId="5C48D759" w14:textId="77777777" w:rsidR="00535559" w:rsidRDefault="00535559" w:rsidP="00AE0C92">
            <w:pPr>
              <w:spacing w:before="60"/>
              <w:jc w:val="center"/>
              <w:rPr>
                <w:lang w:eastAsia="zh-CN"/>
              </w:rPr>
            </w:pPr>
          </w:p>
        </w:tc>
        <w:tc>
          <w:tcPr>
            <w:tcW w:w="2131" w:type="dxa"/>
          </w:tcPr>
          <w:p w14:paraId="717A641F" w14:textId="77777777" w:rsidR="00535559" w:rsidRPr="00F24907" w:rsidRDefault="00535559" w:rsidP="00AE0C92">
            <w:pPr>
              <w:spacing w:before="60"/>
              <w:rPr>
                <w:rFonts w:eastAsia="MS PGothic"/>
              </w:rPr>
            </w:pPr>
          </w:p>
        </w:tc>
        <w:tc>
          <w:tcPr>
            <w:tcW w:w="2300" w:type="dxa"/>
          </w:tcPr>
          <w:p w14:paraId="7F5FDD96" w14:textId="77777777" w:rsidR="00535559" w:rsidRPr="00F24907" w:rsidRDefault="00535559" w:rsidP="00AE0C92">
            <w:pPr>
              <w:spacing w:before="60"/>
              <w:rPr>
                <w:rFonts w:eastAsia="MS PGothic"/>
              </w:rPr>
            </w:pPr>
          </w:p>
        </w:tc>
      </w:tr>
      <w:tr w:rsidR="00535559" w:rsidRPr="00F24907" w14:paraId="65FF18D5" w14:textId="77777777" w:rsidTr="00AE0C92">
        <w:trPr>
          <w:trHeight w:val="304"/>
          <w:jc w:val="center"/>
        </w:trPr>
        <w:tc>
          <w:tcPr>
            <w:tcW w:w="1963" w:type="dxa"/>
          </w:tcPr>
          <w:p w14:paraId="67D646ED" w14:textId="77777777" w:rsidR="00535559" w:rsidRDefault="00535559" w:rsidP="00AE0C92">
            <w:pPr>
              <w:spacing w:before="60"/>
              <w:jc w:val="center"/>
              <w:rPr>
                <w:lang w:eastAsia="zh-CN"/>
              </w:rPr>
            </w:pPr>
            <w:r>
              <w:rPr>
                <w:sz w:val="22"/>
                <w:lang w:eastAsia="zh-CN"/>
              </w:rPr>
              <w:t>66-76 GHz</w:t>
            </w:r>
          </w:p>
          <w:p w14:paraId="226BD142" w14:textId="77777777" w:rsidR="00535559" w:rsidRDefault="00535559" w:rsidP="00AE0C92">
            <w:pPr>
              <w:spacing w:before="60"/>
              <w:jc w:val="center"/>
              <w:rPr>
                <w:lang w:eastAsia="zh-CN"/>
              </w:rPr>
            </w:pPr>
            <w:r>
              <w:rPr>
                <w:sz w:val="22"/>
                <w:lang w:eastAsia="zh-CN"/>
              </w:rPr>
              <w:t>81-86GHz</w:t>
            </w:r>
          </w:p>
        </w:tc>
        <w:tc>
          <w:tcPr>
            <w:tcW w:w="1963" w:type="dxa"/>
          </w:tcPr>
          <w:p w14:paraId="1D479EAE" w14:textId="77777777" w:rsidR="00535559" w:rsidRDefault="00535559" w:rsidP="00AE0C92">
            <w:pPr>
              <w:spacing w:before="60"/>
              <w:jc w:val="center"/>
              <w:rPr>
                <w:lang w:eastAsia="zh-CN"/>
              </w:rPr>
            </w:pPr>
          </w:p>
        </w:tc>
        <w:tc>
          <w:tcPr>
            <w:tcW w:w="2131" w:type="dxa"/>
          </w:tcPr>
          <w:p w14:paraId="5F9F3A8C" w14:textId="77777777" w:rsidR="00535559" w:rsidRPr="00F24907" w:rsidRDefault="00535559" w:rsidP="00AE0C92">
            <w:pPr>
              <w:spacing w:before="60"/>
              <w:rPr>
                <w:rFonts w:eastAsia="MS PGothic"/>
              </w:rPr>
            </w:pPr>
          </w:p>
        </w:tc>
        <w:tc>
          <w:tcPr>
            <w:tcW w:w="2300" w:type="dxa"/>
          </w:tcPr>
          <w:p w14:paraId="7A95F5AE" w14:textId="77777777" w:rsidR="00535559" w:rsidRPr="00F24907" w:rsidRDefault="00535559" w:rsidP="00AE0C92">
            <w:pPr>
              <w:spacing w:before="60"/>
              <w:rPr>
                <w:rFonts w:eastAsia="MS PGothic"/>
              </w:rPr>
            </w:pPr>
          </w:p>
        </w:tc>
      </w:tr>
    </w:tbl>
    <w:p w14:paraId="066890B4" w14:textId="77777777" w:rsidR="00535559" w:rsidRDefault="00535559" w:rsidP="00535559">
      <w:pPr>
        <w:pStyle w:val="ListParagraph"/>
        <w:ind w:right="720"/>
      </w:pPr>
    </w:p>
    <w:p w14:paraId="7483FD63" w14:textId="77777777" w:rsidR="00535559" w:rsidRPr="00115572" w:rsidRDefault="00535559" w:rsidP="00535559">
      <w:pPr>
        <w:autoSpaceDE w:val="0"/>
        <w:autoSpaceDN w:val="0"/>
        <w:adjustRightInd w:val="0"/>
        <w:spacing w:line="360" w:lineRule="auto"/>
        <w:jc w:val="both"/>
        <w:rPr>
          <w:rFonts w:eastAsiaTheme="minorHAnsi"/>
        </w:rPr>
      </w:pPr>
    </w:p>
    <w:p w14:paraId="3F3C40A8" w14:textId="77777777" w:rsidR="00535559" w:rsidRDefault="00535559"/>
    <w:sectPr w:rsidR="00535559" w:rsidSect="00A31936">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4D67A" w14:textId="77777777" w:rsidR="004D3BB1" w:rsidRDefault="004D3BB1" w:rsidP="00535559">
      <w:r>
        <w:separator/>
      </w:r>
    </w:p>
  </w:endnote>
  <w:endnote w:type="continuationSeparator" w:id="0">
    <w:p w14:paraId="6E4896E1" w14:textId="77777777" w:rsidR="004D3BB1" w:rsidRDefault="004D3BB1" w:rsidP="0053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389897"/>
      <w:docPartObj>
        <w:docPartGallery w:val="Page Numbers (Bottom of Page)"/>
        <w:docPartUnique/>
      </w:docPartObj>
    </w:sdtPr>
    <w:sdtEndPr>
      <w:rPr>
        <w:noProof/>
      </w:rPr>
    </w:sdtEndPr>
    <w:sdtContent>
      <w:p w14:paraId="74E7E1DF" w14:textId="16E5EAD5" w:rsidR="00A31936" w:rsidRDefault="00A31936" w:rsidP="001A1808">
        <w:pPr>
          <w:jc w:val="right"/>
          <w:rPr>
            <w:rStyle w:val="PageNumber"/>
          </w:rPr>
        </w:pPr>
        <w:r>
          <w:rPr>
            <w:lang w:eastAsia="ko-K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05D74">
          <w:rPr>
            <w:rStyle w:val="PageNumber"/>
            <w:noProof/>
          </w:rPr>
          <w:t>15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05D74">
          <w:rPr>
            <w:rStyle w:val="PageNumber"/>
            <w:noProof/>
          </w:rPr>
          <w:t>15</w:t>
        </w:r>
        <w:r w:rsidRPr="002C7EA9">
          <w:rPr>
            <w:rStyle w:val="PageNumber"/>
          </w:rPr>
          <w:fldChar w:fldCharType="end"/>
        </w:r>
      </w:p>
      <w:p w14:paraId="7ED111E2" w14:textId="77777777" w:rsidR="00A31936" w:rsidRDefault="004D3BB1" w:rsidP="00A31936">
        <w:pPr>
          <w:pStyle w:val="Footer"/>
          <w:jc w:val="right"/>
          <w:rPr>
            <w:noProof/>
          </w:rPr>
        </w:pPr>
      </w:p>
    </w:sdtContent>
  </w:sdt>
  <w:p w14:paraId="4132B8BA" w14:textId="0D004E4C" w:rsidR="00E2435D" w:rsidRDefault="00E2435D" w:rsidP="00A31936">
    <w:pPr>
      <w:pStyle w:val="Footer"/>
    </w:pPr>
  </w:p>
  <w:p w14:paraId="51E5845F" w14:textId="77777777" w:rsidR="00E2435D" w:rsidRDefault="00E24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Y="140"/>
      <w:tblW w:w="9923" w:type="dxa"/>
      <w:tblLayout w:type="fixed"/>
      <w:tblCellMar>
        <w:left w:w="57" w:type="dxa"/>
        <w:right w:w="57" w:type="dxa"/>
      </w:tblCellMar>
      <w:tblLook w:val="0000" w:firstRow="0" w:lastRow="0" w:firstColumn="0" w:lastColumn="0" w:noHBand="0" w:noVBand="0"/>
    </w:tblPr>
    <w:tblGrid>
      <w:gridCol w:w="1199"/>
      <w:gridCol w:w="5850"/>
      <w:gridCol w:w="2874"/>
    </w:tblGrid>
    <w:tr w:rsidR="00A31936" w:rsidRPr="00115572" w14:paraId="1155B5DE" w14:textId="77777777" w:rsidTr="00C7586C">
      <w:trPr>
        <w:cantSplit/>
        <w:trHeight w:val="204"/>
      </w:trPr>
      <w:tc>
        <w:tcPr>
          <w:tcW w:w="1199" w:type="dxa"/>
          <w:tcBorders>
            <w:top w:val="single" w:sz="12" w:space="0" w:color="auto"/>
          </w:tcBorders>
        </w:tcPr>
        <w:p w14:paraId="1000DDA1" w14:textId="05521CD0" w:rsidR="00A31936" w:rsidRPr="00115572" w:rsidRDefault="00A31936" w:rsidP="00A31936">
          <w:pPr>
            <w:rPr>
              <w:b/>
              <w:bCs/>
            </w:rPr>
          </w:pPr>
        </w:p>
      </w:tc>
      <w:tc>
        <w:tcPr>
          <w:tcW w:w="5850" w:type="dxa"/>
          <w:tcBorders>
            <w:top w:val="single" w:sz="12" w:space="0" w:color="auto"/>
          </w:tcBorders>
        </w:tcPr>
        <w:p w14:paraId="06B23649" w14:textId="56C60246" w:rsidR="00A31936" w:rsidRPr="00115572" w:rsidRDefault="00A31936" w:rsidP="00A31936">
          <w:pPr>
            <w:rPr>
              <w:rFonts w:eastAsia="Malgun Gothic"/>
              <w:bCs/>
              <w:lang w:eastAsia="ko-KR"/>
            </w:rPr>
          </w:pPr>
        </w:p>
      </w:tc>
      <w:tc>
        <w:tcPr>
          <w:tcW w:w="2874" w:type="dxa"/>
          <w:tcBorders>
            <w:top w:val="single" w:sz="12" w:space="0" w:color="auto"/>
          </w:tcBorders>
        </w:tcPr>
        <w:p w14:paraId="7DD93867" w14:textId="3D28B9DB" w:rsidR="00A31936" w:rsidRPr="00115572" w:rsidRDefault="00A31936" w:rsidP="00A31936">
          <w:pPr>
            <w:rPr>
              <w:lang w:eastAsia="ja-JP"/>
            </w:rPr>
          </w:pPr>
        </w:p>
      </w:tc>
    </w:tr>
  </w:tbl>
  <w:p w14:paraId="311BBBD0" w14:textId="77777777" w:rsidR="00A31936" w:rsidRDefault="00A31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D4DC6" w14:textId="77777777" w:rsidR="004D3BB1" w:rsidRDefault="004D3BB1" w:rsidP="00535559">
      <w:r>
        <w:separator/>
      </w:r>
    </w:p>
  </w:footnote>
  <w:footnote w:type="continuationSeparator" w:id="0">
    <w:p w14:paraId="5AE1DBF2" w14:textId="77777777" w:rsidR="004D3BB1" w:rsidRDefault="004D3BB1" w:rsidP="00535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04200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1A0E3BEB"/>
    <w:multiLevelType w:val="multilevel"/>
    <w:tmpl w:val="D986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A6E46"/>
    <w:multiLevelType w:val="hybridMultilevel"/>
    <w:tmpl w:val="E5DEF1A2"/>
    <w:lvl w:ilvl="0" w:tplc="308E030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15:restartNumberingAfterBreak="0">
    <w:nsid w:val="2D263BD4"/>
    <w:multiLevelType w:val="hybridMultilevel"/>
    <w:tmpl w:val="B5DE9CD4"/>
    <w:lvl w:ilvl="0" w:tplc="286CF990">
      <w:start w:val="1"/>
      <w:numFmt w:val="lowerLetter"/>
      <w:lvlText w:val="%1."/>
      <w:lvlJc w:val="left"/>
      <w:pPr>
        <w:ind w:left="900" w:hanging="360"/>
      </w:pPr>
      <w:rPr>
        <w:rFonts w:hint="default"/>
      </w:rPr>
    </w:lvl>
    <w:lvl w:ilvl="1" w:tplc="04090019" w:tentative="1">
      <w:start w:val="1"/>
      <w:numFmt w:val="upperLetter"/>
      <w:lvlText w:val="%2."/>
      <w:lvlJc w:val="left"/>
      <w:pPr>
        <w:ind w:left="1340" w:hanging="400"/>
      </w:pPr>
    </w:lvl>
    <w:lvl w:ilvl="2" w:tplc="0409001B" w:tentative="1">
      <w:start w:val="1"/>
      <w:numFmt w:val="lowerRoman"/>
      <w:lvlText w:val="%3."/>
      <w:lvlJc w:val="right"/>
      <w:pPr>
        <w:ind w:left="1740" w:hanging="400"/>
      </w:pPr>
    </w:lvl>
    <w:lvl w:ilvl="3" w:tplc="0409000F" w:tentative="1">
      <w:start w:val="1"/>
      <w:numFmt w:val="decimal"/>
      <w:lvlText w:val="%4."/>
      <w:lvlJc w:val="left"/>
      <w:pPr>
        <w:ind w:left="2140" w:hanging="400"/>
      </w:pPr>
    </w:lvl>
    <w:lvl w:ilvl="4" w:tplc="04090019" w:tentative="1">
      <w:start w:val="1"/>
      <w:numFmt w:val="upperLetter"/>
      <w:lvlText w:val="%5."/>
      <w:lvlJc w:val="left"/>
      <w:pPr>
        <w:ind w:left="2540" w:hanging="400"/>
      </w:pPr>
    </w:lvl>
    <w:lvl w:ilvl="5" w:tplc="0409001B" w:tentative="1">
      <w:start w:val="1"/>
      <w:numFmt w:val="lowerRoman"/>
      <w:lvlText w:val="%6."/>
      <w:lvlJc w:val="right"/>
      <w:pPr>
        <w:ind w:left="2940" w:hanging="400"/>
      </w:pPr>
    </w:lvl>
    <w:lvl w:ilvl="6" w:tplc="0409000F" w:tentative="1">
      <w:start w:val="1"/>
      <w:numFmt w:val="decimal"/>
      <w:lvlText w:val="%7."/>
      <w:lvlJc w:val="left"/>
      <w:pPr>
        <w:ind w:left="3340" w:hanging="400"/>
      </w:pPr>
    </w:lvl>
    <w:lvl w:ilvl="7" w:tplc="04090019" w:tentative="1">
      <w:start w:val="1"/>
      <w:numFmt w:val="upperLetter"/>
      <w:lvlText w:val="%8."/>
      <w:lvlJc w:val="left"/>
      <w:pPr>
        <w:ind w:left="3740" w:hanging="400"/>
      </w:pPr>
    </w:lvl>
    <w:lvl w:ilvl="8" w:tplc="0409001B" w:tentative="1">
      <w:start w:val="1"/>
      <w:numFmt w:val="lowerRoman"/>
      <w:lvlText w:val="%9."/>
      <w:lvlJc w:val="right"/>
      <w:pPr>
        <w:ind w:left="4140" w:hanging="400"/>
      </w:pPr>
    </w:lvl>
  </w:abstractNum>
  <w:abstractNum w:abstractNumId="4" w15:restartNumberingAfterBreak="0">
    <w:nsid w:val="42B85CBC"/>
    <w:multiLevelType w:val="hybridMultilevel"/>
    <w:tmpl w:val="5004FC42"/>
    <w:lvl w:ilvl="0" w:tplc="0BA04DA8">
      <w:start w:val="2"/>
      <w:numFmt w:val="lowerLetter"/>
      <w:lvlText w:val="%1."/>
      <w:lvlJc w:val="left"/>
      <w:pPr>
        <w:ind w:left="1069" w:hanging="360"/>
      </w:pPr>
      <w:rPr>
        <w:rFonts w:hint="default"/>
        <w:color w:val="000000" w:themeColor="text1"/>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5" w15:restartNumberingAfterBreak="0">
    <w:nsid w:val="4A20039D"/>
    <w:multiLevelType w:val="hybridMultilevel"/>
    <w:tmpl w:val="9E8E20D6"/>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A2542B9"/>
    <w:multiLevelType w:val="hybridMultilevel"/>
    <w:tmpl w:val="80EAFAA6"/>
    <w:lvl w:ilvl="0" w:tplc="08086344">
      <w:start w:val="1"/>
      <w:numFmt w:val="lowerRoman"/>
      <w:lvlText w:val="%1."/>
      <w:lvlJc w:val="left"/>
      <w:pPr>
        <w:ind w:left="1840" w:hanging="72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7" w15:restartNumberingAfterBreak="0">
    <w:nsid w:val="53CE3ABF"/>
    <w:multiLevelType w:val="hybridMultilevel"/>
    <w:tmpl w:val="E61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A21F0"/>
    <w:multiLevelType w:val="hybridMultilevel"/>
    <w:tmpl w:val="ED2EBEB4"/>
    <w:lvl w:ilvl="0" w:tplc="AA921180">
      <w:start w:val="1"/>
      <w:numFmt w:val="decimal"/>
      <w:pStyle w:val="ACMATableHeader"/>
      <w:lvlText w:val="Table %1:"/>
      <w:lvlJc w:val="left"/>
      <w:pPr>
        <w:tabs>
          <w:tab w:val="num" w:pos="964"/>
        </w:tabs>
        <w:ind w:left="964" w:hanging="9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24043"/>
    <w:multiLevelType w:val="hybridMultilevel"/>
    <w:tmpl w:val="150C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517B1"/>
    <w:multiLevelType w:val="hybridMultilevel"/>
    <w:tmpl w:val="3A2C0100"/>
    <w:lvl w:ilvl="0" w:tplc="D1C86270">
      <w:start w:val="1"/>
      <w:numFmt w:val="bullet"/>
      <w:lvlText w:val="&gt;"/>
      <w:lvlJc w:val="left"/>
      <w:pPr>
        <w:ind w:left="720" w:hanging="360"/>
      </w:pPr>
      <w:rPr>
        <w:rFonts w:ascii="HelveticaNeueLT Std Lt" w:hAnsi="HelveticaNeueLT Std L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95B47"/>
    <w:multiLevelType w:val="hybridMultilevel"/>
    <w:tmpl w:val="2C6EF870"/>
    <w:lvl w:ilvl="0" w:tplc="04090005">
      <w:start w:val="1"/>
      <w:numFmt w:val="bullet"/>
      <w:lvlText w:val=""/>
      <w:lvlJc w:val="left"/>
      <w:pPr>
        <w:ind w:left="1015" w:hanging="360"/>
      </w:pPr>
      <w:rPr>
        <w:rFonts w:ascii="Wingdings" w:hAnsi="Wingdings"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9"/>
  </w:num>
  <w:num w:numId="6">
    <w:abstractNumId w:val="3"/>
  </w:num>
  <w:num w:numId="7">
    <w:abstractNumId w:val="4"/>
  </w:num>
  <w:num w:numId="8">
    <w:abstractNumId w:val="2"/>
  </w:num>
  <w:num w:numId="9">
    <w:abstractNumId w:val="6"/>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59"/>
    <w:rsid w:val="00005D74"/>
    <w:rsid w:val="00182EA9"/>
    <w:rsid w:val="001A1808"/>
    <w:rsid w:val="001A3EB5"/>
    <w:rsid w:val="001B61F4"/>
    <w:rsid w:val="001D50B2"/>
    <w:rsid w:val="00317D01"/>
    <w:rsid w:val="00333781"/>
    <w:rsid w:val="0038591C"/>
    <w:rsid w:val="00392377"/>
    <w:rsid w:val="003B6C21"/>
    <w:rsid w:val="003D4A6E"/>
    <w:rsid w:val="003F3F27"/>
    <w:rsid w:val="00416E66"/>
    <w:rsid w:val="00470F7D"/>
    <w:rsid w:val="004C2E39"/>
    <w:rsid w:val="004D3BB1"/>
    <w:rsid w:val="0051285F"/>
    <w:rsid w:val="00535559"/>
    <w:rsid w:val="00593AE3"/>
    <w:rsid w:val="005C6A9F"/>
    <w:rsid w:val="005F4C81"/>
    <w:rsid w:val="00675E9D"/>
    <w:rsid w:val="00697E2A"/>
    <w:rsid w:val="006F5C92"/>
    <w:rsid w:val="0074125B"/>
    <w:rsid w:val="00763940"/>
    <w:rsid w:val="007E3E60"/>
    <w:rsid w:val="008C24AC"/>
    <w:rsid w:val="00924C49"/>
    <w:rsid w:val="00954212"/>
    <w:rsid w:val="009B1E5B"/>
    <w:rsid w:val="009F6773"/>
    <w:rsid w:val="00A053C1"/>
    <w:rsid w:val="00A31936"/>
    <w:rsid w:val="00A55135"/>
    <w:rsid w:val="00A65A0D"/>
    <w:rsid w:val="00A84C1C"/>
    <w:rsid w:val="00AA6621"/>
    <w:rsid w:val="00AC23AA"/>
    <w:rsid w:val="00AC27D2"/>
    <w:rsid w:val="00AD0600"/>
    <w:rsid w:val="00AD79DD"/>
    <w:rsid w:val="00AE0D52"/>
    <w:rsid w:val="00B756E7"/>
    <w:rsid w:val="00B83958"/>
    <w:rsid w:val="00BF237A"/>
    <w:rsid w:val="00C31F16"/>
    <w:rsid w:val="00C32BCD"/>
    <w:rsid w:val="00D55FC0"/>
    <w:rsid w:val="00DA3E6A"/>
    <w:rsid w:val="00E07F4D"/>
    <w:rsid w:val="00E2435D"/>
    <w:rsid w:val="00EB103A"/>
    <w:rsid w:val="00F250AF"/>
    <w:rsid w:val="00F257AD"/>
    <w:rsid w:val="00F9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95B5B"/>
  <w15:chartTrackingRefBased/>
  <w15:docId w15:val="{E41DE36D-492F-4825-8C4E-0F57B78C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59"/>
    <w:pPr>
      <w:spacing w:after="0" w:line="240" w:lineRule="auto"/>
    </w:pPr>
    <w:rPr>
      <w:rFonts w:ascii="Times New Roman" w:eastAsia="BatangChe" w:hAnsi="Times New Roman" w:cs="Times New Roman"/>
      <w:sz w:val="24"/>
      <w:szCs w:val="24"/>
    </w:rPr>
  </w:style>
  <w:style w:type="paragraph" w:styleId="Heading1">
    <w:name w:val="heading 1"/>
    <w:basedOn w:val="Normal"/>
    <w:next w:val="Normal"/>
    <w:link w:val="Heading1Char"/>
    <w:uiPriority w:val="9"/>
    <w:qFormat/>
    <w:rsid w:val="005355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35559"/>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AC23A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559"/>
    <w:rPr>
      <w:color w:val="0563C1" w:themeColor="hyperlink"/>
      <w:u w:val="single"/>
    </w:rPr>
  </w:style>
  <w:style w:type="character" w:customStyle="1" w:styleId="Heading2Char">
    <w:name w:val="Heading 2 Char"/>
    <w:basedOn w:val="DefaultParagraphFont"/>
    <w:link w:val="Heading2"/>
    <w:rsid w:val="00535559"/>
    <w:rPr>
      <w:rFonts w:asciiTheme="majorHAnsi" w:eastAsiaTheme="majorEastAsia" w:hAnsiTheme="majorHAnsi" w:cstheme="majorBidi"/>
      <w:sz w:val="24"/>
      <w:szCs w:val="24"/>
    </w:rPr>
  </w:style>
  <w:style w:type="paragraph" w:styleId="ListParagraph">
    <w:name w:val="List Paragraph"/>
    <w:basedOn w:val="Normal"/>
    <w:link w:val="ListParagraphChar"/>
    <w:uiPriority w:val="34"/>
    <w:qFormat/>
    <w:rsid w:val="00535559"/>
    <w:pPr>
      <w:ind w:left="720"/>
    </w:pPr>
  </w:style>
  <w:style w:type="paragraph" w:customStyle="1" w:styleId="Default">
    <w:name w:val="Default"/>
    <w:rsid w:val="00535559"/>
    <w:pPr>
      <w:autoSpaceDE w:val="0"/>
      <w:autoSpaceDN w:val="0"/>
      <w:adjustRightInd w:val="0"/>
      <w:spacing w:after="0" w:line="240" w:lineRule="auto"/>
    </w:pPr>
    <w:rPr>
      <w:rFonts w:ascii="Comic Sans MS" w:eastAsia="Calibri" w:hAnsi="Comic Sans MS" w:cs="Comic Sans MS"/>
      <w:color w:val="000000"/>
      <w:sz w:val="24"/>
      <w:szCs w:val="24"/>
      <w:lang w:bidi="fa-IR"/>
    </w:rPr>
  </w:style>
  <w:style w:type="table" w:styleId="TableGrid">
    <w:name w:val="Table Grid"/>
    <w:basedOn w:val="TableNormal"/>
    <w:uiPriority w:val="59"/>
    <w:rsid w:val="00535559"/>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559"/>
    <w:pPr>
      <w:spacing w:before="100" w:beforeAutospacing="1" w:after="100" w:afterAutospacing="1"/>
    </w:pPr>
    <w:rPr>
      <w:rFonts w:ascii="Gulim" w:eastAsia="Gulim" w:hAnsi="Gulim" w:cs="Gulim"/>
      <w:lang w:eastAsia="ko-KR"/>
    </w:rPr>
  </w:style>
  <w:style w:type="character" w:customStyle="1" w:styleId="Heading1Char">
    <w:name w:val="Heading 1 Char"/>
    <w:basedOn w:val="DefaultParagraphFont"/>
    <w:link w:val="Heading1"/>
    <w:uiPriority w:val="9"/>
    <w:rsid w:val="005355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5559"/>
    <w:pPr>
      <w:keepNext w:val="0"/>
      <w:keepLines w:val="0"/>
      <w:pBdr>
        <w:bottom w:val="single" w:sz="12" w:space="1" w:color="2F5496" w:themeColor="accent1" w:themeShade="BF"/>
      </w:pBdr>
      <w:spacing w:before="600" w:after="80"/>
      <w:outlineLvl w:val="9"/>
    </w:pPr>
    <w:rPr>
      <w:b/>
      <w:bCs/>
      <w:sz w:val="24"/>
      <w:szCs w:val="24"/>
      <w:lang w:bidi="en-US"/>
    </w:rPr>
  </w:style>
  <w:style w:type="paragraph" w:styleId="TOC1">
    <w:name w:val="toc 1"/>
    <w:basedOn w:val="Normal"/>
    <w:next w:val="Normal"/>
    <w:autoRedefine/>
    <w:uiPriority w:val="39"/>
    <w:unhideWhenUsed/>
    <w:qFormat/>
    <w:rsid w:val="00535559"/>
    <w:pPr>
      <w:tabs>
        <w:tab w:val="right" w:leader="dot" w:pos="9630"/>
      </w:tabs>
      <w:spacing w:after="100"/>
    </w:pPr>
    <w:rPr>
      <w:rFonts w:ascii="Bookman Old Style" w:eastAsiaTheme="minorHAnsi" w:hAnsi="Bookman Old Style" w:cstheme="minorBidi"/>
      <w:b/>
      <w:noProof/>
      <w:sz w:val="22"/>
      <w:szCs w:val="22"/>
    </w:rPr>
  </w:style>
  <w:style w:type="paragraph" w:styleId="TOC2">
    <w:name w:val="toc 2"/>
    <w:basedOn w:val="Normal"/>
    <w:next w:val="Normal"/>
    <w:autoRedefine/>
    <w:uiPriority w:val="39"/>
    <w:unhideWhenUsed/>
    <w:qFormat/>
    <w:rsid w:val="00535559"/>
    <w:pPr>
      <w:tabs>
        <w:tab w:val="left" w:pos="880"/>
        <w:tab w:val="right" w:leader="dot" w:pos="9630"/>
      </w:tabs>
      <w:spacing w:after="100"/>
      <w:ind w:left="240"/>
    </w:pPr>
    <w:rPr>
      <w:rFonts w:ascii="Bookman Old Style" w:eastAsia="Calibri" w:hAnsi="Bookman Old Style"/>
      <w:noProof/>
      <w:sz w:val="22"/>
      <w:szCs w:val="22"/>
      <w:lang w:eastAsia="ko-KR"/>
    </w:rPr>
  </w:style>
  <w:style w:type="paragraph" w:styleId="TOC3">
    <w:name w:val="toc 3"/>
    <w:basedOn w:val="Normal"/>
    <w:next w:val="Normal"/>
    <w:autoRedefine/>
    <w:uiPriority w:val="39"/>
    <w:unhideWhenUsed/>
    <w:qFormat/>
    <w:rsid w:val="00535559"/>
    <w:pPr>
      <w:tabs>
        <w:tab w:val="left" w:pos="1100"/>
        <w:tab w:val="right" w:leader="dot" w:pos="9630"/>
      </w:tabs>
      <w:spacing w:after="100"/>
      <w:ind w:left="480"/>
    </w:pPr>
    <w:rPr>
      <w:rFonts w:ascii="Bookman Old Style" w:eastAsiaTheme="minorHAnsi" w:hAnsi="Bookman Old Style" w:cstheme="minorBidi"/>
      <w:szCs w:val="22"/>
    </w:rPr>
  </w:style>
  <w:style w:type="paragraph" w:styleId="ListBullet">
    <w:name w:val="List Bullet"/>
    <w:basedOn w:val="Normal"/>
    <w:link w:val="ListBulletChar"/>
    <w:qFormat/>
    <w:rsid w:val="00535559"/>
    <w:pPr>
      <w:numPr>
        <w:numId w:val="2"/>
      </w:numPr>
      <w:spacing w:after="80" w:line="240" w:lineRule="atLeast"/>
    </w:pPr>
    <w:rPr>
      <w:rFonts w:ascii="Arial" w:eastAsia="Times New Roman" w:hAnsi="Arial"/>
      <w:sz w:val="20"/>
      <w:lang w:val="en-AU" w:eastAsia="en-AU"/>
    </w:rPr>
  </w:style>
  <w:style w:type="paragraph" w:customStyle="1" w:styleId="ListBulletLast">
    <w:name w:val="List Bullet Last"/>
    <w:basedOn w:val="ListBullet"/>
    <w:qFormat/>
    <w:rsid w:val="00535559"/>
    <w:pPr>
      <w:spacing w:after="240"/>
    </w:pPr>
    <w:rPr>
      <w:rFonts w:cs="Arial"/>
    </w:rPr>
  </w:style>
  <w:style w:type="character" w:customStyle="1" w:styleId="ListBulletChar">
    <w:name w:val="List Bullet Char"/>
    <w:basedOn w:val="DefaultParagraphFont"/>
    <w:link w:val="ListBullet"/>
    <w:rsid w:val="00535559"/>
    <w:rPr>
      <w:rFonts w:ascii="Arial" w:eastAsia="Times New Roman" w:hAnsi="Arial" w:cs="Times New Roman"/>
      <w:sz w:val="20"/>
      <w:szCs w:val="24"/>
      <w:lang w:val="en-AU" w:eastAsia="en-AU"/>
    </w:rPr>
  </w:style>
  <w:style w:type="paragraph" w:styleId="NoSpacing">
    <w:name w:val="No Spacing"/>
    <w:uiPriority w:val="1"/>
    <w:qFormat/>
    <w:rsid w:val="00535559"/>
    <w:pPr>
      <w:spacing w:after="0" w:line="240" w:lineRule="auto"/>
      <w:jc w:val="both"/>
    </w:pPr>
    <w:rPr>
      <w:rFonts w:ascii="Times New Roman" w:eastAsiaTheme="minorEastAsia" w:hAnsi="Times New Roman"/>
      <w:sz w:val="24"/>
    </w:rPr>
  </w:style>
  <w:style w:type="character" w:customStyle="1" w:styleId="ListParagraphChar">
    <w:name w:val="List Paragraph Char"/>
    <w:basedOn w:val="DefaultParagraphFont"/>
    <w:link w:val="ListParagraph"/>
    <w:uiPriority w:val="34"/>
    <w:locked/>
    <w:rsid w:val="00535559"/>
    <w:rPr>
      <w:rFonts w:ascii="Times New Roman" w:eastAsia="BatangChe" w:hAnsi="Times New Roman" w:cs="Times New Roman"/>
      <w:sz w:val="24"/>
      <w:szCs w:val="24"/>
    </w:rPr>
  </w:style>
  <w:style w:type="paragraph" w:customStyle="1" w:styleId="TableHeading">
    <w:name w:val="Table Heading"/>
    <w:basedOn w:val="Normal"/>
    <w:qFormat/>
    <w:rsid w:val="00535559"/>
    <w:pPr>
      <w:keepNext/>
      <w:keepLines/>
      <w:spacing w:line="240" w:lineRule="atLeast"/>
    </w:pPr>
    <w:rPr>
      <w:rFonts w:ascii="Arial" w:eastAsia="Times New Roman" w:hAnsi="Arial"/>
      <w:b/>
      <w:color w:val="FFFFFF" w:themeColor="background1"/>
      <w:sz w:val="20"/>
      <w:lang w:val="en-AU" w:eastAsia="en-AU"/>
    </w:rPr>
  </w:style>
  <w:style w:type="paragraph" w:customStyle="1" w:styleId="ACMATableHeader">
    <w:name w:val="ACMA_TableHeader"/>
    <w:qFormat/>
    <w:rsid w:val="00535559"/>
    <w:pPr>
      <w:numPr>
        <w:numId w:val="10"/>
      </w:numPr>
      <w:tabs>
        <w:tab w:val="clear" w:pos="964"/>
        <w:tab w:val="num" w:pos="3091"/>
      </w:tabs>
      <w:spacing w:line="240" w:lineRule="atLeast"/>
    </w:pPr>
    <w:rPr>
      <w:rFonts w:ascii="Arial" w:eastAsia="Times New Roman" w:hAnsi="Arial" w:cs="Times New Roman"/>
      <w:b/>
      <w:bCs/>
      <w:color w:val="323232"/>
      <w:sz w:val="20"/>
      <w:szCs w:val="20"/>
      <w:lang w:val="en-AU" w:eastAsia="en-AU"/>
    </w:rPr>
  </w:style>
  <w:style w:type="paragraph" w:styleId="Header">
    <w:name w:val="header"/>
    <w:basedOn w:val="Normal"/>
    <w:link w:val="HeaderChar"/>
    <w:uiPriority w:val="99"/>
    <w:unhideWhenUsed/>
    <w:rsid w:val="00535559"/>
    <w:pPr>
      <w:tabs>
        <w:tab w:val="center" w:pos="4680"/>
        <w:tab w:val="right" w:pos="9360"/>
      </w:tabs>
    </w:pPr>
  </w:style>
  <w:style w:type="character" w:customStyle="1" w:styleId="HeaderChar">
    <w:name w:val="Header Char"/>
    <w:basedOn w:val="DefaultParagraphFont"/>
    <w:link w:val="Header"/>
    <w:uiPriority w:val="99"/>
    <w:rsid w:val="00535559"/>
    <w:rPr>
      <w:rFonts w:ascii="Times New Roman" w:eastAsia="BatangChe" w:hAnsi="Times New Roman" w:cs="Times New Roman"/>
      <w:sz w:val="24"/>
      <w:szCs w:val="24"/>
    </w:rPr>
  </w:style>
  <w:style w:type="paragraph" w:styleId="Footer">
    <w:name w:val="footer"/>
    <w:basedOn w:val="Normal"/>
    <w:link w:val="FooterChar"/>
    <w:unhideWhenUsed/>
    <w:rsid w:val="00535559"/>
    <w:pPr>
      <w:tabs>
        <w:tab w:val="center" w:pos="4680"/>
        <w:tab w:val="right" w:pos="9360"/>
      </w:tabs>
    </w:pPr>
  </w:style>
  <w:style w:type="character" w:customStyle="1" w:styleId="FooterChar">
    <w:name w:val="Footer Char"/>
    <w:basedOn w:val="DefaultParagraphFont"/>
    <w:link w:val="Footer"/>
    <w:rsid w:val="00535559"/>
    <w:rPr>
      <w:rFonts w:ascii="Times New Roman" w:eastAsia="BatangChe" w:hAnsi="Times New Roman" w:cs="Times New Roman"/>
      <w:sz w:val="24"/>
      <w:szCs w:val="24"/>
    </w:rPr>
  </w:style>
  <w:style w:type="character" w:styleId="PageNumber">
    <w:name w:val="page number"/>
    <w:basedOn w:val="DefaultParagraphFont"/>
    <w:rsid w:val="001B61F4"/>
  </w:style>
  <w:style w:type="character" w:customStyle="1" w:styleId="Heading3Char">
    <w:name w:val="Heading 3 Char"/>
    <w:basedOn w:val="DefaultParagraphFont"/>
    <w:link w:val="Heading3"/>
    <w:uiPriority w:val="9"/>
    <w:rsid w:val="00AC23A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consultations-and-statements/category-1/mobile-data-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sm.govt.nz/online-services-resources/publications/annual-reports-and-business-plans" TargetMode="External"/><Relationship Id="rId4" Type="http://schemas.openxmlformats.org/officeDocument/2006/relationships/settings" Target="settings.xml"/><Relationship Id="rId9" Type="http://schemas.openxmlformats.org/officeDocument/2006/relationships/hyperlink" Target="https://acma.gov.au/Industry/Spectrum/Spectrum-projects/5-Year-Spectrum-Outlo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3B3A2-B629-478A-B307-98992D6A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15</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btrc17</dc:creator>
  <cp:keywords/>
  <dc:description/>
  <cp:lastModifiedBy>APT Secretariat</cp:lastModifiedBy>
  <cp:revision>40</cp:revision>
  <dcterms:created xsi:type="dcterms:W3CDTF">2018-12-03T05:05:00Z</dcterms:created>
  <dcterms:modified xsi:type="dcterms:W3CDTF">2019-01-03T07:28:00Z</dcterms:modified>
</cp:coreProperties>
</file>