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D22FB9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 wp14:anchorId="0C7A3DF6" wp14:editId="48A7C9E1">
                  <wp:extent cx="762000" cy="666750"/>
                  <wp:effectExtent l="1905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D401DE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5E720C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6A4000">
            <w:pPr>
              <w:rPr>
                <w:b/>
              </w:rPr>
            </w:pPr>
          </w:p>
        </w:tc>
      </w:tr>
    </w:tbl>
    <w:p w:rsidR="00DA7595" w:rsidRDefault="00D401DE" w:rsidP="00DA7595">
      <w:pPr>
        <w:rPr>
          <w:lang w:eastAsia="ko-KR"/>
        </w:rPr>
      </w:pPr>
      <w:r>
        <w:rPr>
          <w:lang w:eastAsia="ko-KR"/>
        </w:rPr>
        <w:t>Source: APG15-2/OUT-24</w:t>
      </w:r>
      <w:r w:rsidR="00E97E15">
        <w:rPr>
          <w:lang w:eastAsia="ko-KR"/>
        </w:rPr>
        <w:t>(Rev.1)</w:t>
      </w:r>
      <w:bookmarkStart w:id="0" w:name="_GoBack"/>
      <w:bookmarkEnd w:id="0"/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Default="00D1252E" w:rsidP="0063062B">
      <w:pPr>
        <w:jc w:val="center"/>
        <w:rPr>
          <w:b/>
          <w:bCs/>
          <w:caps/>
          <w:sz w:val="28"/>
          <w:szCs w:val="28"/>
          <w:lang w:val="id-ID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DF2416">
        <w:rPr>
          <w:b/>
          <w:bCs/>
          <w:caps/>
          <w:sz w:val="28"/>
          <w:szCs w:val="28"/>
          <w:lang w:val="id-ID"/>
        </w:rPr>
        <w:t>1.17</w:t>
      </w:r>
    </w:p>
    <w:p w:rsidR="00C357AD" w:rsidRDefault="00C357AD" w:rsidP="00C357AD">
      <w:pPr>
        <w:jc w:val="center"/>
        <w:rPr>
          <w:b/>
        </w:rPr>
      </w:pPr>
    </w:p>
    <w:p w:rsidR="00964FDE" w:rsidRPr="00964FDE" w:rsidRDefault="00964FDE" w:rsidP="00C357AD">
      <w:pPr>
        <w:jc w:val="both"/>
        <w:rPr>
          <w:b/>
          <w:lang w:val="id-ID"/>
        </w:rPr>
      </w:pPr>
    </w:p>
    <w:p w:rsidR="008319BF" w:rsidRDefault="000A5418" w:rsidP="00C357AD">
      <w:pPr>
        <w:jc w:val="both"/>
      </w:pPr>
      <w:r>
        <w:rPr>
          <w:b/>
        </w:rPr>
        <w:t xml:space="preserve">Agenda Item </w:t>
      </w:r>
      <w:r w:rsidR="00DF2416">
        <w:rPr>
          <w:b/>
          <w:lang w:val="id-ID"/>
        </w:rPr>
        <w:t>1</w:t>
      </w:r>
      <w:r>
        <w:rPr>
          <w:b/>
        </w:rPr>
        <w:t>.</w:t>
      </w:r>
      <w:r w:rsidR="00DF2416">
        <w:rPr>
          <w:b/>
          <w:lang w:val="id-ID"/>
        </w:rPr>
        <w:t>17</w:t>
      </w:r>
      <w:r>
        <w:rPr>
          <w:b/>
        </w:rPr>
        <w:t xml:space="preserve">: </w:t>
      </w:r>
    </w:p>
    <w:p w:rsidR="000A5418" w:rsidRDefault="000715BD" w:rsidP="00C357AD">
      <w:pPr>
        <w:jc w:val="both"/>
        <w:rPr>
          <w:b/>
          <w:bCs/>
          <w:i/>
          <w:lang w:val="id-ID"/>
        </w:rPr>
      </w:pPr>
      <w:proofErr w:type="gramStart"/>
      <w:r w:rsidRPr="001D15F1">
        <w:rPr>
          <w:i/>
          <w:lang w:val="en-AU"/>
        </w:rPr>
        <w:t>to</w:t>
      </w:r>
      <w:proofErr w:type="gramEnd"/>
      <w:r w:rsidRPr="001D15F1">
        <w:rPr>
          <w:i/>
          <w:lang w:val="en-AU"/>
        </w:rPr>
        <w:t xml:space="preserve"> consider possible spectrum requirements and regulatory actions, including appropriate aeronautical allocations, to support wireless avionics intra-communications (WAIC), in accordance with</w:t>
      </w:r>
      <w:r w:rsidRPr="001D15F1">
        <w:rPr>
          <w:b/>
          <w:bCs/>
          <w:i/>
          <w:lang w:val="en-AU"/>
        </w:rPr>
        <w:t xml:space="preserve"> </w:t>
      </w:r>
      <w:r w:rsidRPr="001D15F1">
        <w:rPr>
          <w:i/>
          <w:lang w:val="en-AU"/>
        </w:rPr>
        <w:t>Resolution</w:t>
      </w:r>
      <w:r w:rsidRPr="001D15F1">
        <w:rPr>
          <w:b/>
          <w:bCs/>
          <w:i/>
          <w:lang w:val="en-AU"/>
        </w:rPr>
        <w:t xml:space="preserve"> 423 (WRC</w:t>
      </w:r>
      <w:r w:rsidRPr="001D15F1">
        <w:rPr>
          <w:b/>
          <w:bCs/>
          <w:i/>
          <w:lang w:val="en-AU"/>
        </w:rPr>
        <w:noBreakHyphen/>
        <w:t>12)</w:t>
      </w:r>
    </w:p>
    <w:p w:rsidR="000715BD" w:rsidRDefault="000715BD" w:rsidP="0002196E">
      <w:pPr>
        <w:rPr>
          <w:b/>
          <w:bCs/>
          <w:i/>
          <w:lang w:val="id-ID"/>
        </w:rPr>
      </w:pPr>
    </w:p>
    <w:p w:rsidR="000A5418" w:rsidRDefault="000A5418" w:rsidP="00C357AD">
      <w:pPr>
        <w:jc w:val="both"/>
      </w:pPr>
    </w:p>
    <w:p w:rsidR="006A02CF" w:rsidRDefault="006916A9" w:rsidP="005E720C">
      <w:pPr>
        <w:spacing w:after="120"/>
        <w:jc w:val="both"/>
        <w:rPr>
          <w:b/>
        </w:rPr>
      </w:pPr>
      <w:r w:rsidRPr="006916A9">
        <w:rPr>
          <w:b/>
          <w:lang w:val="id-ID" w:eastAsia="ko-KR"/>
        </w:rPr>
        <w:t>APT Preliminary Views:</w:t>
      </w:r>
      <w:r>
        <w:rPr>
          <w:b/>
          <w:lang w:val="id-ID" w:eastAsia="ko-KR"/>
        </w:rPr>
        <w:t xml:space="preserve"> </w:t>
      </w:r>
    </w:p>
    <w:p w:rsidR="000F7106" w:rsidRDefault="006916A9" w:rsidP="005E720C">
      <w:pPr>
        <w:spacing w:after="120"/>
        <w:jc w:val="both"/>
        <w:rPr>
          <w:lang w:val="id-ID"/>
        </w:rPr>
      </w:pPr>
      <w:r>
        <w:rPr>
          <w:lang w:val="id-ID"/>
        </w:rPr>
        <w:t xml:space="preserve">APT </w:t>
      </w:r>
      <w:r>
        <w:rPr>
          <w:lang w:val="en-AU"/>
        </w:rPr>
        <w:t xml:space="preserve">Members </w:t>
      </w:r>
      <w:r>
        <w:rPr>
          <w:lang w:val="id-ID"/>
        </w:rPr>
        <w:t xml:space="preserve">supports relevant ITU-R studies on WAIC </w:t>
      </w:r>
      <w:r>
        <w:rPr>
          <w:lang w:val="en-AU"/>
        </w:rPr>
        <w:t>in accordance with</w:t>
      </w:r>
      <w:r>
        <w:rPr>
          <w:lang w:val="id-ID"/>
        </w:rPr>
        <w:t xml:space="preserve"> Resolution </w:t>
      </w:r>
      <w:r w:rsidRPr="00AD55B8">
        <w:rPr>
          <w:b/>
          <w:lang w:val="id-ID"/>
        </w:rPr>
        <w:t>423 (WRC-12)</w:t>
      </w:r>
      <w:r w:rsidR="00A01AC4">
        <w:rPr>
          <w:lang w:val="en-AU"/>
        </w:rPr>
        <w:t xml:space="preserve">. APT Members are also of the view that the possible introduction of WAIC systems should </w:t>
      </w:r>
      <w:proofErr w:type="gramStart"/>
      <w:r w:rsidR="00A01AC4">
        <w:rPr>
          <w:lang w:val="en-AU"/>
        </w:rPr>
        <w:t>not cause</w:t>
      </w:r>
      <w:r>
        <w:rPr>
          <w:lang w:val="id-ID"/>
        </w:rPr>
        <w:t xml:space="preserve"> harmful interference </w:t>
      </w:r>
      <w:r w:rsidR="00F143BA">
        <w:t>n</w:t>
      </w:r>
      <w:r>
        <w:rPr>
          <w:lang w:val="id-ID"/>
        </w:rPr>
        <w:t>or</w:t>
      </w:r>
      <w:proofErr w:type="gramEnd"/>
      <w:r>
        <w:rPr>
          <w:lang w:val="id-ID"/>
        </w:rPr>
        <w:t xml:space="preserve"> constraints </w:t>
      </w:r>
      <w:r w:rsidR="00A01AC4">
        <w:rPr>
          <w:lang w:val="en-AU"/>
        </w:rPr>
        <w:t>to services to which the frequency band is allocated.</w:t>
      </w:r>
      <w:r w:rsidR="00AD55B8">
        <w:rPr>
          <w:lang w:val="en-AU"/>
        </w:rPr>
        <w:t xml:space="preserve"> </w:t>
      </w:r>
    </w:p>
    <w:p w:rsidR="004A3A9C" w:rsidRDefault="004A3A9C" w:rsidP="005E720C">
      <w:pPr>
        <w:spacing w:after="120"/>
        <w:jc w:val="both"/>
        <w:rPr>
          <w:lang w:val="id-ID"/>
        </w:rPr>
      </w:pPr>
    </w:p>
    <w:p w:rsidR="00D36655" w:rsidRPr="0059601A" w:rsidRDefault="006A02CF" w:rsidP="005E720C">
      <w:pPr>
        <w:spacing w:after="120"/>
        <w:jc w:val="both"/>
        <w:rPr>
          <w:b/>
          <w:lang w:val="id-ID"/>
        </w:rPr>
      </w:pPr>
      <w:r>
        <w:rPr>
          <w:b/>
        </w:rPr>
        <w:t>Other Views:</w:t>
      </w:r>
      <w:r w:rsidR="00761953">
        <w:rPr>
          <w:b/>
          <w:lang w:val="id-ID"/>
        </w:rPr>
        <w:t xml:space="preserve"> </w:t>
      </w:r>
    </w:p>
    <w:p w:rsidR="00E42910" w:rsidRPr="00AD55B8" w:rsidRDefault="00AD55B8" w:rsidP="005E720C">
      <w:pPr>
        <w:spacing w:after="120"/>
        <w:jc w:val="both"/>
        <w:rPr>
          <w:lang w:val="en-AU"/>
        </w:rPr>
      </w:pPr>
      <w:r w:rsidRPr="00AD55B8">
        <w:rPr>
          <w:lang w:val="en-AU"/>
        </w:rPr>
        <w:t>None</w:t>
      </w:r>
    </w:p>
    <w:p w:rsidR="00D401DE" w:rsidRDefault="00D401DE" w:rsidP="005E720C">
      <w:pPr>
        <w:spacing w:after="120"/>
        <w:jc w:val="both"/>
        <w:rPr>
          <w:b/>
        </w:rPr>
      </w:pPr>
    </w:p>
    <w:p w:rsidR="006A02CF" w:rsidRPr="00761953" w:rsidRDefault="00D36655" w:rsidP="005E720C">
      <w:pPr>
        <w:spacing w:after="120"/>
        <w:jc w:val="both"/>
        <w:rPr>
          <w:b/>
          <w:lang w:val="id-ID"/>
        </w:rPr>
      </w:pPr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AD55B8">
        <w:rPr>
          <w:b/>
        </w:rPr>
        <w:t xml:space="preserve"> </w:t>
      </w:r>
    </w:p>
    <w:p w:rsidR="0088006E" w:rsidRDefault="0088006E" w:rsidP="005E720C">
      <w:pPr>
        <w:spacing w:after="120"/>
        <w:jc w:val="both"/>
        <w:rPr>
          <w:rStyle w:val="IntenseEmphasis"/>
          <w:b w:val="0"/>
          <w:i w:val="0"/>
        </w:rPr>
      </w:pPr>
      <w:r>
        <w:rPr>
          <w:lang w:val="id-ID"/>
        </w:rPr>
        <w:t xml:space="preserve">As the issues regarding </w:t>
      </w:r>
      <w:r w:rsidR="004A3A9C">
        <w:rPr>
          <w:lang w:val="id-ID"/>
        </w:rPr>
        <w:t xml:space="preserve">relevant studies </w:t>
      </w:r>
      <w:r w:rsidR="00631BAB">
        <w:rPr>
          <w:lang w:val="id-ID"/>
        </w:rPr>
        <w:t xml:space="preserve">have </w:t>
      </w:r>
      <w:r w:rsidR="00AD55B8">
        <w:rPr>
          <w:lang w:val="id-ID"/>
        </w:rPr>
        <w:t xml:space="preserve">not been finalized, the APT </w:t>
      </w:r>
      <w:r w:rsidR="00AD55B8">
        <w:rPr>
          <w:lang w:val="en-AU"/>
        </w:rPr>
        <w:t>M</w:t>
      </w:r>
      <w:r>
        <w:rPr>
          <w:lang w:val="id-ID"/>
        </w:rPr>
        <w:t xml:space="preserve">embers are </w:t>
      </w:r>
      <w:r w:rsidR="004A3A9C">
        <w:rPr>
          <w:lang w:val="id-ID"/>
        </w:rPr>
        <w:t xml:space="preserve">invited </w:t>
      </w:r>
      <w:r>
        <w:rPr>
          <w:lang w:val="id-ID"/>
        </w:rPr>
        <w:t xml:space="preserve">to monitor the </w:t>
      </w:r>
      <w:r w:rsidR="0040264B">
        <w:rPr>
          <w:lang w:val="id-ID"/>
        </w:rPr>
        <w:t xml:space="preserve">latest </w:t>
      </w:r>
      <w:r>
        <w:rPr>
          <w:lang w:val="id-ID"/>
        </w:rPr>
        <w:t>WP</w:t>
      </w:r>
      <w:r w:rsidR="00AD55B8">
        <w:rPr>
          <w:lang w:val="en-AU"/>
        </w:rPr>
        <w:t xml:space="preserve"> </w:t>
      </w:r>
      <w:r>
        <w:rPr>
          <w:lang w:val="id-ID"/>
        </w:rPr>
        <w:t>5B studies on WAIC</w:t>
      </w:r>
      <w:r w:rsidR="0040264B">
        <w:rPr>
          <w:lang w:val="id-ID"/>
        </w:rPr>
        <w:t>.</w:t>
      </w:r>
      <w:r w:rsidR="00AF6352">
        <w:rPr>
          <w:lang w:val="id-ID"/>
        </w:rPr>
        <w:t xml:space="preserve"> </w:t>
      </w:r>
      <w:r w:rsidR="00AD55B8">
        <w:rPr>
          <w:lang w:val="id-ID"/>
        </w:rPr>
        <w:t xml:space="preserve">APT </w:t>
      </w:r>
      <w:r w:rsidR="00AD55B8">
        <w:rPr>
          <w:lang w:val="en-AU"/>
        </w:rPr>
        <w:t>M</w:t>
      </w:r>
      <w:r w:rsidR="008B6B40">
        <w:rPr>
          <w:lang w:val="id-ID"/>
        </w:rPr>
        <w:t xml:space="preserve">embers are encouraged to submit </w:t>
      </w:r>
      <w:r w:rsidR="00AF6352">
        <w:rPr>
          <w:lang w:val="id-ID"/>
        </w:rPr>
        <w:t xml:space="preserve">contributions </w:t>
      </w:r>
      <w:r w:rsidR="008B6B40">
        <w:rPr>
          <w:lang w:val="id-ID"/>
        </w:rPr>
        <w:t xml:space="preserve">at the next </w:t>
      </w:r>
      <w:r w:rsidR="00AF6352">
        <w:rPr>
          <w:lang w:val="id-ID"/>
        </w:rPr>
        <w:t>APG15-3 meeting.</w:t>
      </w:r>
    </w:p>
    <w:p w:rsidR="000A5418" w:rsidRDefault="000A5418" w:rsidP="00C357AD">
      <w:pPr>
        <w:jc w:val="both"/>
      </w:pPr>
    </w:p>
    <w:p w:rsidR="00D1252E" w:rsidRDefault="00D1252E" w:rsidP="009A4A6D">
      <w:pPr>
        <w:jc w:val="center"/>
      </w:pPr>
    </w:p>
    <w:p w:rsidR="00D36655" w:rsidRDefault="00D36655" w:rsidP="009A4A6D">
      <w:pPr>
        <w:jc w:val="center"/>
      </w:pPr>
    </w:p>
    <w:p w:rsidR="00D36655" w:rsidRDefault="00D36655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D0" w:rsidRDefault="00CD07D0">
      <w:r>
        <w:separator/>
      </w:r>
    </w:p>
  </w:endnote>
  <w:endnote w:type="continuationSeparator" w:id="0">
    <w:p w:rsidR="00CD07D0" w:rsidRDefault="00CD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6916A9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6916A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6916A9" w:rsidRPr="002C7EA9">
      <w:rPr>
        <w:rStyle w:val="PageNumber"/>
      </w:rPr>
      <w:fldChar w:fldCharType="separate"/>
    </w:r>
    <w:r w:rsidR="00D401DE">
      <w:rPr>
        <w:rStyle w:val="PageNumber"/>
        <w:noProof/>
      </w:rPr>
      <w:t>3</w:t>
    </w:r>
    <w:r w:rsidR="006916A9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6916A9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6916A9" w:rsidRPr="002C7EA9">
      <w:rPr>
        <w:rStyle w:val="PageNumber"/>
      </w:rPr>
      <w:fldChar w:fldCharType="separate"/>
    </w:r>
    <w:r w:rsidR="00D401DE">
      <w:rPr>
        <w:rStyle w:val="PageNumber"/>
        <w:noProof/>
      </w:rPr>
      <w:t>4</w:t>
    </w:r>
    <w:r w:rsidR="006916A9"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D0" w:rsidRDefault="00CD07D0">
      <w:r>
        <w:separator/>
      </w:r>
    </w:p>
  </w:footnote>
  <w:footnote w:type="continuationSeparator" w:id="0">
    <w:p w:rsidR="00CD07D0" w:rsidRDefault="00CD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483BE9">
      <w:rPr>
        <w:lang w:eastAsia="ko-KR"/>
      </w:rPr>
      <w:t>OUT-24</w:t>
    </w:r>
    <w:r w:rsidR="00B60A24">
      <w:rPr>
        <w:lang w:eastAsia="ko-KR"/>
      </w:rPr>
      <w:t>(Rev.1)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05"/>
    <w:multiLevelType w:val="hybridMultilevel"/>
    <w:tmpl w:val="4E44189C"/>
    <w:lvl w:ilvl="0" w:tplc="DBA00A6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>
    <w:nsid w:val="07D76CC2"/>
    <w:multiLevelType w:val="hybridMultilevel"/>
    <w:tmpl w:val="B80065BA"/>
    <w:lvl w:ilvl="0" w:tplc="F544B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46A3BEC"/>
    <w:multiLevelType w:val="hybridMultilevel"/>
    <w:tmpl w:val="27CC20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F6B5CA5"/>
    <w:multiLevelType w:val="hybridMultilevel"/>
    <w:tmpl w:val="BF164644"/>
    <w:lvl w:ilvl="0" w:tplc="0EDC4B2E">
      <w:start w:val="6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53C32A55"/>
    <w:multiLevelType w:val="hybridMultilevel"/>
    <w:tmpl w:val="8214C6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F2904"/>
    <w:multiLevelType w:val="hybridMultilevel"/>
    <w:tmpl w:val="5ADE48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C51EC"/>
    <w:multiLevelType w:val="hybridMultilevel"/>
    <w:tmpl w:val="FCE6C1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B1DF5"/>
    <w:multiLevelType w:val="hybridMultilevel"/>
    <w:tmpl w:val="72D24092"/>
    <w:lvl w:ilvl="0" w:tplc="0EDC4B2E">
      <w:start w:val="6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5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1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2DD0"/>
    <w:rsid w:val="00006CE7"/>
    <w:rsid w:val="0002196E"/>
    <w:rsid w:val="0003595B"/>
    <w:rsid w:val="000713CF"/>
    <w:rsid w:val="000715BD"/>
    <w:rsid w:val="00075339"/>
    <w:rsid w:val="000756AE"/>
    <w:rsid w:val="000A5418"/>
    <w:rsid w:val="000A5C2E"/>
    <w:rsid w:val="000B39E4"/>
    <w:rsid w:val="000F517C"/>
    <w:rsid w:val="000F5540"/>
    <w:rsid w:val="000F7106"/>
    <w:rsid w:val="001375E8"/>
    <w:rsid w:val="001539DD"/>
    <w:rsid w:val="00156C25"/>
    <w:rsid w:val="00190E20"/>
    <w:rsid w:val="00196568"/>
    <w:rsid w:val="001A2CF1"/>
    <w:rsid w:val="001A2F16"/>
    <w:rsid w:val="001B18C2"/>
    <w:rsid w:val="001C610F"/>
    <w:rsid w:val="001D5D7E"/>
    <w:rsid w:val="001F5AFE"/>
    <w:rsid w:val="00205552"/>
    <w:rsid w:val="00241908"/>
    <w:rsid w:val="00252992"/>
    <w:rsid w:val="00254A1B"/>
    <w:rsid w:val="0028454D"/>
    <w:rsid w:val="0029087F"/>
    <w:rsid w:val="00290ABD"/>
    <w:rsid w:val="00291C9E"/>
    <w:rsid w:val="002926D4"/>
    <w:rsid w:val="00295D9B"/>
    <w:rsid w:val="002A14B9"/>
    <w:rsid w:val="002A376C"/>
    <w:rsid w:val="002C07DA"/>
    <w:rsid w:val="002C7EA9"/>
    <w:rsid w:val="002E7C80"/>
    <w:rsid w:val="002F4AD4"/>
    <w:rsid w:val="003165A3"/>
    <w:rsid w:val="00321A16"/>
    <w:rsid w:val="003322C6"/>
    <w:rsid w:val="00342F20"/>
    <w:rsid w:val="003563B6"/>
    <w:rsid w:val="00356E21"/>
    <w:rsid w:val="003809C7"/>
    <w:rsid w:val="003A3A2C"/>
    <w:rsid w:val="003B6263"/>
    <w:rsid w:val="003C64A7"/>
    <w:rsid w:val="003D3FDA"/>
    <w:rsid w:val="00401C14"/>
    <w:rsid w:val="0040264B"/>
    <w:rsid w:val="00416256"/>
    <w:rsid w:val="004171B2"/>
    <w:rsid w:val="00420822"/>
    <w:rsid w:val="0043182F"/>
    <w:rsid w:val="0045458F"/>
    <w:rsid w:val="004633B4"/>
    <w:rsid w:val="00473941"/>
    <w:rsid w:val="0048080C"/>
    <w:rsid w:val="00483BE9"/>
    <w:rsid w:val="004A3A9C"/>
    <w:rsid w:val="004A615A"/>
    <w:rsid w:val="004B3553"/>
    <w:rsid w:val="004D2B52"/>
    <w:rsid w:val="004D61D0"/>
    <w:rsid w:val="004D7744"/>
    <w:rsid w:val="004E7A14"/>
    <w:rsid w:val="00516142"/>
    <w:rsid w:val="00516893"/>
    <w:rsid w:val="00521AF5"/>
    <w:rsid w:val="00530E8C"/>
    <w:rsid w:val="00532D8B"/>
    <w:rsid w:val="00545933"/>
    <w:rsid w:val="00557544"/>
    <w:rsid w:val="00572E9C"/>
    <w:rsid w:val="0058352A"/>
    <w:rsid w:val="00587875"/>
    <w:rsid w:val="0059601A"/>
    <w:rsid w:val="005D23EF"/>
    <w:rsid w:val="005E720C"/>
    <w:rsid w:val="00607E2B"/>
    <w:rsid w:val="006225CE"/>
    <w:rsid w:val="00623CE1"/>
    <w:rsid w:val="0063062B"/>
    <w:rsid w:val="00631BAB"/>
    <w:rsid w:val="00657448"/>
    <w:rsid w:val="00667229"/>
    <w:rsid w:val="00682BE5"/>
    <w:rsid w:val="00690FED"/>
    <w:rsid w:val="006916A9"/>
    <w:rsid w:val="006939A5"/>
    <w:rsid w:val="006A02CF"/>
    <w:rsid w:val="006A0CC7"/>
    <w:rsid w:val="006A4000"/>
    <w:rsid w:val="006A4AF6"/>
    <w:rsid w:val="00712451"/>
    <w:rsid w:val="00727D43"/>
    <w:rsid w:val="00732F08"/>
    <w:rsid w:val="00741732"/>
    <w:rsid w:val="0074190C"/>
    <w:rsid w:val="00741AEF"/>
    <w:rsid w:val="00761953"/>
    <w:rsid w:val="00762576"/>
    <w:rsid w:val="00770335"/>
    <w:rsid w:val="00791060"/>
    <w:rsid w:val="00792B79"/>
    <w:rsid w:val="007A507E"/>
    <w:rsid w:val="007B00DD"/>
    <w:rsid w:val="007B5626"/>
    <w:rsid w:val="00802178"/>
    <w:rsid w:val="0080570B"/>
    <w:rsid w:val="008148E1"/>
    <w:rsid w:val="008319BF"/>
    <w:rsid w:val="008366A0"/>
    <w:rsid w:val="008432D3"/>
    <w:rsid w:val="00846223"/>
    <w:rsid w:val="0088006E"/>
    <w:rsid w:val="008B6B40"/>
    <w:rsid w:val="008D0E09"/>
    <w:rsid w:val="00964FDE"/>
    <w:rsid w:val="0097693B"/>
    <w:rsid w:val="00992C95"/>
    <w:rsid w:val="00993355"/>
    <w:rsid w:val="009A4A6D"/>
    <w:rsid w:val="009A77F9"/>
    <w:rsid w:val="00A01AC4"/>
    <w:rsid w:val="00A05ABE"/>
    <w:rsid w:val="00A13265"/>
    <w:rsid w:val="00A206C6"/>
    <w:rsid w:val="00A5671F"/>
    <w:rsid w:val="00A61BAD"/>
    <w:rsid w:val="00A61D15"/>
    <w:rsid w:val="00A643D6"/>
    <w:rsid w:val="00A67849"/>
    <w:rsid w:val="00A71136"/>
    <w:rsid w:val="00A928CC"/>
    <w:rsid w:val="00A94F7A"/>
    <w:rsid w:val="00AA474C"/>
    <w:rsid w:val="00AB4C6A"/>
    <w:rsid w:val="00AC40AD"/>
    <w:rsid w:val="00AD3B90"/>
    <w:rsid w:val="00AD55B8"/>
    <w:rsid w:val="00AD7E5F"/>
    <w:rsid w:val="00AF6352"/>
    <w:rsid w:val="00B01AA1"/>
    <w:rsid w:val="00B30C81"/>
    <w:rsid w:val="00B4793B"/>
    <w:rsid w:val="00B60A24"/>
    <w:rsid w:val="00BE5757"/>
    <w:rsid w:val="00C0450A"/>
    <w:rsid w:val="00C07A72"/>
    <w:rsid w:val="00C15633"/>
    <w:rsid w:val="00C15799"/>
    <w:rsid w:val="00C357AD"/>
    <w:rsid w:val="00C43FA7"/>
    <w:rsid w:val="00C55F61"/>
    <w:rsid w:val="00C56B7E"/>
    <w:rsid w:val="00C6069C"/>
    <w:rsid w:val="00CB43A7"/>
    <w:rsid w:val="00CD07D0"/>
    <w:rsid w:val="00CD5431"/>
    <w:rsid w:val="00CF2491"/>
    <w:rsid w:val="00D0351E"/>
    <w:rsid w:val="00D1252E"/>
    <w:rsid w:val="00D13B41"/>
    <w:rsid w:val="00D17FD0"/>
    <w:rsid w:val="00D22FB9"/>
    <w:rsid w:val="00D36655"/>
    <w:rsid w:val="00D401DE"/>
    <w:rsid w:val="00D57772"/>
    <w:rsid w:val="00D60E48"/>
    <w:rsid w:val="00D65FF8"/>
    <w:rsid w:val="00D70996"/>
    <w:rsid w:val="00D73C7C"/>
    <w:rsid w:val="00D75A4D"/>
    <w:rsid w:val="00D8478B"/>
    <w:rsid w:val="00D86151"/>
    <w:rsid w:val="00DA0253"/>
    <w:rsid w:val="00DA7595"/>
    <w:rsid w:val="00DB0A68"/>
    <w:rsid w:val="00DC43A3"/>
    <w:rsid w:val="00DD7C09"/>
    <w:rsid w:val="00DE6E63"/>
    <w:rsid w:val="00DF2416"/>
    <w:rsid w:val="00E00164"/>
    <w:rsid w:val="00E0041C"/>
    <w:rsid w:val="00E0124F"/>
    <w:rsid w:val="00E27A4E"/>
    <w:rsid w:val="00E349E1"/>
    <w:rsid w:val="00E42910"/>
    <w:rsid w:val="00E674D3"/>
    <w:rsid w:val="00E70FD0"/>
    <w:rsid w:val="00E75D8D"/>
    <w:rsid w:val="00E97E15"/>
    <w:rsid w:val="00EF48F0"/>
    <w:rsid w:val="00F143BA"/>
    <w:rsid w:val="00F6252B"/>
    <w:rsid w:val="00F6490A"/>
    <w:rsid w:val="00F84067"/>
    <w:rsid w:val="00F9264F"/>
    <w:rsid w:val="00F97127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AFE"/>
    <w:pPr>
      <w:ind w:left="720"/>
    </w:pPr>
    <w:rPr>
      <w:rFonts w:cs="Angsana New"/>
    </w:rPr>
  </w:style>
  <w:style w:type="character" w:styleId="Hyperlink">
    <w:name w:val="Hyperlink"/>
    <w:basedOn w:val="DefaultParagraphFont"/>
    <w:rsid w:val="000715BD"/>
    <w:rPr>
      <w:color w:val="0000FF" w:themeColor="hyperlink"/>
      <w:u w:val="single"/>
    </w:rPr>
  </w:style>
  <w:style w:type="paragraph" w:customStyle="1" w:styleId="MsoNormalIndent0">
    <w:name w:val="MsoNormalIndent"/>
    <w:basedOn w:val="Normal"/>
    <w:rsid w:val="0002196E"/>
    <w:pPr>
      <w:widowControl w:val="0"/>
      <w:shd w:val="clear" w:color="auto" w:fill="FFFFFF"/>
      <w:wordWrap w:val="0"/>
      <w:autoSpaceDE w:val="0"/>
      <w:autoSpaceDN w:val="0"/>
      <w:ind w:left="1702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customStyle="1" w:styleId="Reasons">
    <w:name w:val="Reasons"/>
    <w:basedOn w:val="Normal"/>
    <w:qFormat/>
    <w:rsid w:val="0043182F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styleId="IntenseEmphasis">
    <w:name w:val="Intense Emphasis"/>
    <w:basedOn w:val="DefaultParagraphFont"/>
    <w:qFormat/>
    <w:rsid w:val="00002DD0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rsid w:val="004D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B52"/>
    <w:rPr>
      <w:rFonts w:ascii="Tahoma" w:eastAsia="BatangChe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AFE"/>
    <w:pPr>
      <w:ind w:left="720"/>
    </w:pPr>
    <w:rPr>
      <w:rFonts w:cs="Angsana New"/>
    </w:rPr>
  </w:style>
  <w:style w:type="character" w:styleId="Hyperlink">
    <w:name w:val="Hyperlink"/>
    <w:basedOn w:val="DefaultParagraphFont"/>
    <w:rsid w:val="000715BD"/>
    <w:rPr>
      <w:color w:val="0000FF" w:themeColor="hyperlink"/>
      <w:u w:val="single"/>
    </w:rPr>
  </w:style>
  <w:style w:type="paragraph" w:customStyle="1" w:styleId="MsoNormalIndent0">
    <w:name w:val="MsoNormalIndent"/>
    <w:basedOn w:val="Normal"/>
    <w:rsid w:val="0002196E"/>
    <w:pPr>
      <w:widowControl w:val="0"/>
      <w:shd w:val="clear" w:color="auto" w:fill="FFFFFF"/>
      <w:wordWrap w:val="0"/>
      <w:autoSpaceDE w:val="0"/>
      <w:autoSpaceDN w:val="0"/>
      <w:ind w:left="1702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customStyle="1" w:styleId="Reasons">
    <w:name w:val="Reasons"/>
    <w:basedOn w:val="Normal"/>
    <w:qFormat/>
    <w:rsid w:val="0043182F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styleId="IntenseEmphasis">
    <w:name w:val="Intense Emphasis"/>
    <w:basedOn w:val="DefaultParagraphFont"/>
    <w:qFormat/>
    <w:rsid w:val="00002DD0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rsid w:val="004D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B52"/>
    <w:rPr>
      <w:rFonts w:ascii="Tahoma" w:eastAsia="BatangChe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2013-07-16T06:34:00Z</dcterms:created>
  <dcterms:modified xsi:type="dcterms:W3CDTF">2013-07-16T06:34:00Z</dcterms:modified>
</cp:coreProperties>
</file>