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3E64E3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758825" cy="664210"/>
                  <wp:effectExtent l="0" t="0" r="3175" b="254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spacing w:line="0" w:lineRule="atLeast"/>
            </w:pPr>
            <w:r>
              <w:rPr>
                <w:b/>
              </w:rPr>
              <w:t>APT Conference Preparatory  Group for WRC-15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43388B">
            <w:pPr>
              <w:rPr>
                <w:b/>
                <w:bCs/>
                <w:lang w:val="fr-F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43388B">
            <w:pPr>
              <w:rPr>
                <w:b/>
              </w:rPr>
            </w:pPr>
          </w:p>
        </w:tc>
      </w:tr>
    </w:tbl>
    <w:p w:rsidR="00DA7595" w:rsidRDefault="00931050" w:rsidP="00DA7595">
      <w:pPr>
        <w:rPr>
          <w:lang w:eastAsia="ko-KR"/>
        </w:rPr>
      </w:pPr>
      <w:r>
        <w:rPr>
          <w:lang w:eastAsia="ko-KR"/>
        </w:rPr>
        <w:t>Source: APG15-2/OUT-29(Rev.1)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</w:t>
      </w:r>
      <w:r w:rsidR="0073756E">
        <w:rPr>
          <w:b/>
          <w:bCs/>
          <w:caps/>
          <w:sz w:val="28"/>
          <w:szCs w:val="28"/>
        </w:rPr>
        <w:t xml:space="preserve">enda item </w:t>
      </w:r>
      <w:r w:rsidR="0073756E" w:rsidRPr="00F76671">
        <w:rPr>
          <w:rFonts w:eastAsia="MS Mincho" w:hint="eastAsia"/>
          <w:b/>
          <w:bCs/>
          <w:caps/>
          <w:sz w:val="28"/>
          <w:szCs w:val="28"/>
          <w:lang w:eastAsia="ja-JP"/>
        </w:rPr>
        <w:t>1</w:t>
      </w:r>
      <w:r w:rsidR="007A507E">
        <w:rPr>
          <w:b/>
          <w:bCs/>
          <w:caps/>
          <w:sz w:val="28"/>
          <w:szCs w:val="28"/>
        </w:rPr>
        <w:t>.</w:t>
      </w:r>
      <w:r w:rsidR="0073756E" w:rsidRPr="00F76671">
        <w:rPr>
          <w:rFonts w:eastAsia="MS Mincho" w:hint="eastAsia"/>
          <w:b/>
          <w:bCs/>
          <w:caps/>
          <w:sz w:val="28"/>
          <w:szCs w:val="28"/>
          <w:lang w:eastAsia="ja-JP"/>
        </w:rPr>
        <w:t>18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8319BF" w:rsidRDefault="0073756E" w:rsidP="00C357AD">
      <w:pPr>
        <w:jc w:val="both"/>
      </w:pPr>
      <w:r>
        <w:rPr>
          <w:b/>
        </w:rPr>
        <w:t xml:space="preserve">Agenda Item </w:t>
      </w:r>
      <w:r w:rsidRPr="00F76671">
        <w:rPr>
          <w:rFonts w:eastAsia="MS Mincho" w:hint="eastAsia"/>
          <w:b/>
          <w:lang w:eastAsia="ja-JP"/>
        </w:rPr>
        <w:t>1</w:t>
      </w:r>
      <w:r w:rsidR="000A5418">
        <w:rPr>
          <w:b/>
        </w:rPr>
        <w:t>.1</w:t>
      </w:r>
      <w:r w:rsidRPr="00F76671">
        <w:rPr>
          <w:rFonts w:eastAsia="MS Mincho" w:hint="eastAsia"/>
          <w:b/>
          <w:lang w:eastAsia="ja-JP"/>
        </w:rPr>
        <w:t>8</w:t>
      </w:r>
      <w:r w:rsidR="000A5418">
        <w:rPr>
          <w:b/>
        </w:rPr>
        <w:t xml:space="preserve">: </w:t>
      </w:r>
    </w:p>
    <w:p w:rsidR="0021138C" w:rsidRPr="009F703F" w:rsidRDefault="0021138C" w:rsidP="004251C2">
      <w:pPr>
        <w:spacing w:after="120"/>
        <w:jc w:val="both"/>
        <w:rPr>
          <w:rFonts w:eastAsia="MS Mincho"/>
          <w:i/>
          <w:lang w:eastAsia="ja-JP"/>
        </w:rPr>
      </w:pPr>
      <w:proofErr w:type="gramStart"/>
      <w:r w:rsidRPr="0021138C">
        <w:rPr>
          <w:i/>
        </w:rPr>
        <w:t>to</w:t>
      </w:r>
      <w:proofErr w:type="gramEnd"/>
      <w:r w:rsidRPr="0021138C">
        <w:rPr>
          <w:i/>
        </w:rPr>
        <w:t xml:space="preserve"> consider a</w:t>
      </w:r>
      <w:r w:rsidRPr="0021138C">
        <w:rPr>
          <w:rFonts w:eastAsia="MS Mincho" w:hint="eastAsia"/>
          <w:i/>
          <w:lang w:eastAsia="ja-JP"/>
        </w:rPr>
        <w:t xml:space="preserve"> primary</w:t>
      </w:r>
      <w:r w:rsidRPr="0021138C">
        <w:rPr>
          <w:i/>
        </w:rPr>
        <w:t xml:space="preserve"> </w:t>
      </w:r>
      <w:r w:rsidRPr="0021138C">
        <w:rPr>
          <w:rFonts w:eastAsia="MS Mincho" w:hint="eastAsia"/>
          <w:i/>
          <w:lang w:eastAsia="ja-JP"/>
        </w:rPr>
        <w:t xml:space="preserve">allocation </w:t>
      </w:r>
      <w:r w:rsidRPr="009F703F">
        <w:rPr>
          <w:rFonts w:eastAsia="MS Mincho" w:hint="eastAsia"/>
          <w:i/>
          <w:lang w:eastAsia="ja-JP"/>
        </w:rPr>
        <w:t xml:space="preserve">to the radiolocation service for automotive applications in the 77.5-78.0 GHz frequency band </w:t>
      </w:r>
      <w:r w:rsidRPr="009F703F">
        <w:rPr>
          <w:i/>
        </w:rPr>
        <w:t xml:space="preserve">in accordance with Resolution </w:t>
      </w:r>
      <w:r w:rsidRPr="004251C2">
        <w:rPr>
          <w:rFonts w:eastAsia="MS Mincho" w:hint="eastAsia"/>
          <w:b/>
          <w:bCs/>
          <w:i/>
          <w:lang w:eastAsia="ja-JP"/>
        </w:rPr>
        <w:t>654</w:t>
      </w:r>
      <w:r w:rsidRPr="004251C2">
        <w:rPr>
          <w:b/>
          <w:bCs/>
          <w:i/>
        </w:rPr>
        <w:t xml:space="preserve"> (WRC</w:t>
      </w:r>
      <w:r w:rsidRPr="004251C2">
        <w:rPr>
          <w:b/>
          <w:bCs/>
          <w:i/>
        </w:rPr>
        <w:noBreakHyphen/>
        <w:t>12)</w:t>
      </w:r>
    </w:p>
    <w:p w:rsidR="000A5418" w:rsidRPr="009F703F" w:rsidRDefault="000A5418" w:rsidP="004251C2">
      <w:pPr>
        <w:spacing w:after="120"/>
        <w:jc w:val="both"/>
        <w:rPr>
          <w:rFonts w:eastAsia="MS Mincho"/>
          <w:lang w:eastAsia="ja-JP"/>
        </w:rPr>
      </w:pPr>
    </w:p>
    <w:p w:rsidR="00F71A28" w:rsidRPr="00F71A28" w:rsidRDefault="006A02CF" w:rsidP="004251C2">
      <w:pPr>
        <w:spacing w:after="120"/>
        <w:jc w:val="both"/>
        <w:rPr>
          <w:rFonts w:eastAsia="MS Mincho"/>
          <w:szCs w:val="20"/>
          <w:lang w:eastAsia="ja-JP"/>
        </w:rPr>
      </w:pPr>
      <w:r>
        <w:rPr>
          <w:b/>
        </w:rPr>
        <w:t>APT Preliminary Views:</w:t>
      </w:r>
    </w:p>
    <w:p w:rsidR="00CE7AB5" w:rsidRDefault="00F71A28" w:rsidP="00111B52">
      <w:pPr>
        <w:shd w:val="clear" w:color="auto" w:fill="FFFFFF"/>
        <w:spacing w:after="120"/>
        <w:rPr>
          <w:rFonts w:eastAsia="MS Mincho"/>
          <w:lang w:val="en-AU" w:eastAsia="ja-JP"/>
        </w:rPr>
      </w:pPr>
      <w:r w:rsidRPr="00F76671">
        <w:rPr>
          <w:rFonts w:eastAsia="MS Mincho" w:hint="eastAsia"/>
          <w:lang w:val="en-AU" w:eastAsia="ja-JP"/>
        </w:rPr>
        <w:t xml:space="preserve">APT </w:t>
      </w:r>
      <w:r w:rsidR="002F1354">
        <w:rPr>
          <w:rFonts w:eastAsia="MS Mincho"/>
          <w:lang w:val="en-AU" w:eastAsia="ja-JP"/>
        </w:rPr>
        <w:t>M</w:t>
      </w:r>
      <w:r w:rsidRPr="00F76671">
        <w:rPr>
          <w:rFonts w:eastAsia="MS Mincho" w:hint="eastAsia"/>
          <w:lang w:val="en-AU" w:eastAsia="ja-JP"/>
        </w:rPr>
        <w:t xml:space="preserve">embers </w:t>
      </w:r>
      <w:r>
        <w:rPr>
          <w:lang w:val="en-AU" w:eastAsia="en-AU"/>
        </w:rPr>
        <w:t>support</w:t>
      </w:r>
      <w:r w:rsidRPr="001D15F1">
        <w:rPr>
          <w:lang w:val="en-AU" w:eastAsia="en-AU"/>
        </w:rPr>
        <w:t xml:space="preserve"> studies </w:t>
      </w:r>
      <w:r w:rsidR="003E6F01" w:rsidRPr="00F76671">
        <w:rPr>
          <w:rFonts w:eastAsia="MS Mincho" w:hint="eastAsia"/>
          <w:lang w:val="en-AU" w:eastAsia="ja-JP"/>
        </w:rPr>
        <w:t xml:space="preserve">in ITU-R </w:t>
      </w:r>
      <w:r w:rsidR="005C3FDC">
        <w:rPr>
          <w:rFonts w:eastAsia="MS Mincho" w:hint="eastAsia"/>
          <w:lang w:val="en-AU" w:eastAsia="ja-JP"/>
        </w:rPr>
        <w:t xml:space="preserve">in accordance </w:t>
      </w:r>
      <w:r w:rsidR="003C0242" w:rsidRPr="00AC7DD7">
        <w:rPr>
          <w:rFonts w:eastAsia="MS Mincho" w:hint="eastAsia"/>
          <w:lang w:val="en-AU" w:eastAsia="ja-JP"/>
        </w:rPr>
        <w:t xml:space="preserve">with </w:t>
      </w:r>
      <w:r w:rsidRPr="001D15F1">
        <w:rPr>
          <w:lang w:val="en-AU" w:eastAsia="en-AU"/>
        </w:rPr>
        <w:t xml:space="preserve">Resolution </w:t>
      </w:r>
      <w:r w:rsidRPr="001D15F1">
        <w:rPr>
          <w:b/>
          <w:lang w:val="en-AU" w:eastAsia="en-AU"/>
        </w:rPr>
        <w:t xml:space="preserve">654 (WRC-12) </w:t>
      </w:r>
      <w:r w:rsidRPr="001D15F1">
        <w:rPr>
          <w:lang w:val="en-AU" w:eastAsia="en-AU"/>
        </w:rPr>
        <w:t xml:space="preserve">including </w:t>
      </w:r>
      <w:r w:rsidR="003778E2" w:rsidRPr="00AC7DD7">
        <w:rPr>
          <w:rFonts w:eastAsia="MS Mincho" w:hint="eastAsia"/>
          <w:lang w:val="en-AU" w:eastAsia="ja-JP"/>
        </w:rPr>
        <w:t xml:space="preserve">sharing studies </w:t>
      </w:r>
      <w:r w:rsidRPr="001D15F1">
        <w:rPr>
          <w:lang w:val="en-AU" w:eastAsia="en-AU"/>
        </w:rPr>
        <w:t xml:space="preserve">with services in </w:t>
      </w:r>
      <w:r w:rsidR="003778E2" w:rsidRPr="00AC7DD7">
        <w:rPr>
          <w:rFonts w:eastAsia="MS Mincho" w:hint="eastAsia"/>
          <w:lang w:val="en-AU" w:eastAsia="ja-JP"/>
        </w:rPr>
        <w:t>the band 77.5-78</w:t>
      </w:r>
      <w:r w:rsidR="000B4BE7" w:rsidRPr="00AC7DD7">
        <w:rPr>
          <w:rFonts w:eastAsia="MS Mincho" w:hint="eastAsia"/>
          <w:lang w:val="en-AU" w:eastAsia="ja-JP"/>
        </w:rPr>
        <w:t>.0</w:t>
      </w:r>
      <w:r w:rsidR="003778E2" w:rsidRPr="00AC7DD7">
        <w:rPr>
          <w:rFonts w:eastAsia="MS Mincho" w:hint="eastAsia"/>
          <w:lang w:val="en-AU" w:eastAsia="ja-JP"/>
        </w:rPr>
        <w:t xml:space="preserve"> GHz and compatibility studies with services operating in the </w:t>
      </w:r>
      <w:r w:rsidRPr="001D15F1">
        <w:rPr>
          <w:lang w:val="en-AU" w:eastAsia="en-AU"/>
        </w:rPr>
        <w:t>adjacent bands</w:t>
      </w:r>
      <w:r w:rsidR="003778E2" w:rsidRPr="00AC7DD7">
        <w:rPr>
          <w:rFonts w:eastAsia="MS Mincho" w:hint="eastAsia"/>
          <w:lang w:val="en-AU" w:eastAsia="ja-JP"/>
        </w:rPr>
        <w:t>.</w:t>
      </w:r>
      <w:r w:rsidRPr="001D15F1">
        <w:rPr>
          <w:lang w:val="en-AU" w:eastAsia="en-AU"/>
        </w:rPr>
        <w:t xml:space="preserve"> </w:t>
      </w:r>
    </w:p>
    <w:p w:rsidR="001F25F5" w:rsidRPr="009F703F" w:rsidRDefault="001F25F5" w:rsidP="004251C2">
      <w:pPr>
        <w:shd w:val="clear" w:color="auto" w:fill="FFFFFF"/>
        <w:spacing w:after="120"/>
        <w:rPr>
          <w:rFonts w:eastAsia="MS Mincho"/>
          <w:b/>
          <w:lang w:eastAsia="ja-JP"/>
        </w:rPr>
      </w:pPr>
    </w:p>
    <w:p w:rsidR="00D36655" w:rsidRDefault="006A02CF" w:rsidP="004251C2">
      <w:pPr>
        <w:spacing w:after="120"/>
        <w:jc w:val="both"/>
        <w:rPr>
          <w:b/>
        </w:rPr>
      </w:pPr>
      <w:r>
        <w:rPr>
          <w:b/>
        </w:rPr>
        <w:t>Other Views:</w:t>
      </w:r>
    </w:p>
    <w:p w:rsidR="007565E9" w:rsidRDefault="007565E9" w:rsidP="004251C2">
      <w:pPr>
        <w:spacing w:after="120"/>
        <w:jc w:val="both"/>
        <w:rPr>
          <w:rFonts w:eastAsia="MS Mincho"/>
          <w:lang w:eastAsia="ja-JP"/>
        </w:rPr>
      </w:pPr>
      <w:r>
        <w:rPr>
          <w:rFonts w:eastAsia="MS Mincho" w:hint="eastAsia"/>
          <w:szCs w:val="20"/>
          <w:lang w:val="en-AU" w:eastAsia="ja-JP"/>
        </w:rPr>
        <w:t xml:space="preserve">Some </w:t>
      </w:r>
      <w:r>
        <w:rPr>
          <w:rFonts w:eastAsia="MS Mincho" w:hint="eastAsia"/>
          <w:szCs w:val="20"/>
          <w:lang w:eastAsia="ja-JP"/>
        </w:rPr>
        <w:t>APT</w:t>
      </w:r>
      <w:r>
        <w:rPr>
          <w:rFonts w:eastAsia="MS Mincho" w:hint="eastAsia"/>
          <w:szCs w:val="20"/>
          <w:lang w:val="en-GB" w:eastAsia="ja-JP"/>
        </w:rPr>
        <w:t xml:space="preserve"> </w:t>
      </w:r>
      <w:r w:rsidR="0049319D">
        <w:rPr>
          <w:rFonts w:eastAsia="MS Mincho"/>
          <w:szCs w:val="20"/>
          <w:lang w:val="en-GB" w:eastAsia="ja-JP"/>
        </w:rPr>
        <w:t>M</w:t>
      </w:r>
      <w:r>
        <w:rPr>
          <w:rFonts w:eastAsia="MS Mincho" w:hint="eastAsia"/>
          <w:szCs w:val="20"/>
          <w:lang w:val="en-GB" w:eastAsia="ja-JP"/>
        </w:rPr>
        <w:t xml:space="preserve">embers support a primary allocation to the radiolocation service in the 77.5-78.0 GHz </w:t>
      </w:r>
      <w:r w:rsidRPr="00215B7A">
        <w:rPr>
          <w:rFonts w:eastAsia="MS Mincho" w:hint="eastAsia"/>
          <w:lang w:eastAsia="ja-JP"/>
        </w:rPr>
        <w:t>frequency band</w:t>
      </w:r>
      <w:r>
        <w:rPr>
          <w:rFonts w:eastAsia="MS Mincho" w:hint="eastAsia"/>
          <w:szCs w:val="20"/>
          <w:lang w:val="en-GB" w:eastAsia="ja-JP"/>
        </w:rPr>
        <w:t xml:space="preserve">, </w:t>
      </w:r>
      <w:r>
        <w:rPr>
          <w:rFonts w:eastAsia="SimSun"/>
          <w:lang w:eastAsia="zh-CN"/>
        </w:rPr>
        <w:t xml:space="preserve">and </w:t>
      </w:r>
      <w:r>
        <w:t xml:space="preserve">realize </w:t>
      </w:r>
      <w:r>
        <w:rPr>
          <w:rFonts w:eastAsia="SimSun" w:hint="eastAsia"/>
          <w:lang w:eastAsia="zh-CN"/>
        </w:rPr>
        <w:t xml:space="preserve">that </w:t>
      </w:r>
      <w:r>
        <w:t>the development of automotive radar in 76</w:t>
      </w:r>
      <w:r w:rsidRPr="00F76671">
        <w:rPr>
          <w:rFonts w:eastAsia="MS Mincho" w:hint="eastAsia"/>
          <w:lang w:eastAsia="ja-JP"/>
        </w:rPr>
        <w:t>.0</w:t>
      </w:r>
      <w:r>
        <w:t>-81</w:t>
      </w:r>
      <w:r w:rsidRPr="00F76671">
        <w:rPr>
          <w:rFonts w:eastAsia="MS Mincho" w:hint="eastAsia"/>
          <w:lang w:eastAsia="ja-JP"/>
        </w:rPr>
        <w:t>.0</w:t>
      </w:r>
      <w:r>
        <w:t xml:space="preserve"> GHz band can </w:t>
      </w:r>
      <w:r>
        <w:rPr>
          <w:rFonts w:eastAsia="SimSun" w:hint="eastAsia"/>
          <w:lang w:eastAsia="zh-CN"/>
        </w:rPr>
        <w:t>p</w:t>
      </w:r>
      <w:r>
        <w:t xml:space="preserve">rovide worldwide </w:t>
      </w:r>
      <w:r w:rsidRPr="001D15F1">
        <w:rPr>
          <w:lang w:val="en-AU" w:eastAsia="en-AU"/>
        </w:rPr>
        <w:t xml:space="preserve">or regional </w:t>
      </w:r>
      <w:r>
        <w:t>harmonization for safety and collision avoidance, which, if implemented, will very likely result in reduced traffic fatalities and injuries on the road.</w:t>
      </w:r>
      <w:r>
        <w:rPr>
          <w:rFonts w:eastAsia="SimSun" w:hint="eastAsia"/>
          <w:lang w:eastAsia="zh-CN"/>
        </w:rPr>
        <w:t xml:space="preserve"> </w:t>
      </w:r>
      <w:r>
        <w:rPr>
          <w:rFonts w:eastAsia="MS Mincho" w:hint="eastAsia"/>
          <w:szCs w:val="20"/>
          <w:lang w:val="en-GB" w:eastAsia="ja-JP"/>
        </w:rPr>
        <w:br/>
      </w:r>
      <w:r w:rsidRPr="00AC7DD7">
        <w:rPr>
          <w:rFonts w:eastAsia="MS Mincho" w:hint="eastAsia"/>
          <w:lang w:eastAsia="ja-JP"/>
        </w:rPr>
        <w:t xml:space="preserve">Some </w:t>
      </w:r>
      <w:r>
        <w:rPr>
          <w:rFonts w:eastAsia="MS Mincho"/>
          <w:lang w:eastAsia="ja-JP"/>
        </w:rPr>
        <w:t xml:space="preserve">other </w:t>
      </w:r>
      <w:r w:rsidRPr="009F703F">
        <w:t xml:space="preserve">APT </w:t>
      </w:r>
      <w:r w:rsidR="0049319D">
        <w:rPr>
          <w:rFonts w:eastAsia="MS Mincho"/>
          <w:lang w:eastAsia="ja-JP"/>
        </w:rPr>
        <w:t>M</w:t>
      </w:r>
      <w:r w:rsidRPr="009F703F">
        <w:t xml:space="preserve">embers </w:t>
      </w:r>
      <w:r w:rsidR="0049319D" w:rsidRPr="009F703F">
        <w:t>are of</w:t>
      </w:r>
      <w:r w:rsidRPr="009F703F">
        <w:t xml:space="preserve"> the view that the existing services in in the 77.5-78.0 GHz frequency band should be adequately protected from potential interference due to the possible new</w:t>
      </w:r>
      <w:r w:rsidRPr="009F703F">
        <w:rPr>
          <w:rFonts w:eastAsia="MS Mincho" w:hint="eastAsia"/>
          <w:lang w:eastAsia="ja-JP"/>
        </w:rPr>
        <w:t xml:space="preserve"> </w:t>
      </w:r>
      <w:r w:rsidRPr="009F703F">
        <w:t xml:space="preserve">allocation to the </w:t>
      </w:r>
      <w:r w:rsidRPr="009F703F">
        <w:rPr>
          <w:rFonts w:eastAsia="MS Mincho" w:hint="eastAsia"/>
          <w:lang w:eastAsia="ja-JP"/>
        </w:rPr>
        <w:t>r</w:t>
      </w:r>
      <w:r w:rsidRPr="009F703F">
        <w:t>adio</w:t>
      </w:r>
      <w:r w:rsidRPr="009F703F">
        <w:rPr>
          <w:rFonts w:eastAsia="MS Mincho" w:hint="eastAsia"/>
          <w:lang w:eastAsia="ja-JP"/>
        </w:rPr>
        <w:t>l</w:t>
      </w:r>
      <w:r w:rsidRPr="009F703F">
        <w:t>ocation service</w:t>
      </w:r>
      <w:r w:rsidRPr="009F703F">
        <w:rPr>
          <w:rFonts w:eastAsia="MS Mincho" w:hint="eastAsia"/>
          <w:lang w:eastAsia="ja-JP"/>
        </w:rPr>
        <w:t xml:space="preserve"> to support automotive short-range high-resolution radar operations</w:t>
      </w:r>
      <w:r w:rsidRPr="009F703F">
        <w:t>, and no constraints are placed on these services.</w:t>
      </w:r>
    </w:p>
    <w:p w:rsidR="00D36655" w:rsidRDefault="00D36655" w:rsidP="004251C2">
      <w:pPr>
        <w:spacing w:after="120"/>
        <w:jc w:val="both"/>
        <w:rPr>
          <w:b/>
        </w:rPr>
      </w:pPr>
    </w:p>
    <w:p w:rsidR="006A02CF" w:rsidRPr="000A5418" w:rsidRDefault="00D36655" w:rsidP="004251C2">
      <w:pPr>
        <w:spacing w:after="120"/>
        <w:jc w:val="both"/>
        <w:rPr>
          <w:b/>
        </w:rPr>
      </w:pPr>
      <w:bookmarkStart w:id="0" w:name="_GoBack"/>
      <w:bookmarkEnd w:id="0"/>
      <w:r>
        <w:rPr>
          <w:b/>
        </w:rPr>
        <w:t>Issues for Consideration at APG</w:t>
      </w:r>
      <w:r w:rsidR="007B00DD">
        <w:rPr>
          <w:b/>
        </w:rPr>
        <w:t>15-3</w:t>
      </w:r>
      <w:r>
        <w:rPr>
          <w:b/>
        </w:rPr>
        <w:t xml:space="preserve"> Meeting:</w:t>
      </w:r>
      <w:r w:rsidR="0049319D">
        <w:rPr>
          <w:b/>
        </w:rPr>
        <w:t xml:space="preserve"> </w:t>
      </w:r>
    </w:p>
    <w:p w:rsidR="00D36655" w:rsidRPr="00C230FA" w:rsidRDefault="00F162C6" w:rsidP="004251C2">
      <w:pPr>
        <w:spacing w:after="120"/>
        <w:rPr>
          <w:rFonts w:eastAsia="MS Mincho"/>
          <w:lang w:val="en-GB" w:eastAsia="ja-JP"/>
        </w:rPr>
      </w:pPr>
      <w:r w:rsidRPr="006E705E">
        <w:rPr>
          <w:rFonts w:eastAsia="MS Mincho"/>
          <w:lang w:val="en-GB" w:eastAsia="ja-JP"/>
        </w:rPr>
        <w:t>APT Administrations are encouraged to con</w:t>
      </w:r>
      <w:r>
        <w:rPr>
          <w:rFonts w:eastAsia="MS Mincho"/>
          <w:lang w:val="en-GB" w:eastAsia="ja-JP"/>
        </w:rPr>
        <w:t xml:space="preserve">tribute </w:t>
      </w:r>
      <w:r w:rsidR="000B4BE7">
        <w:rPr>
          <w:rFonts w:eastAsia="MS Mincho" w:hint="eastAsia"/>
          <w:lang w:val="en-GB" w:eastAsia="ja-JP"/>
        </w:rPr>
        <w:t xml:space="preserve">further to this Agenda </w:t>
      </w:r>
      <w:r w:rsidR="0049319D">
        <w:rPr>
          <w:rFonts w:eastAsia="MS Mincho"/>
          <w:lang w:val="en-GB" w:eastAsia="ja-JP"/>
        </w:rPr>
        <w:t>I</w:t>
      </w:r>
      <w:r w:rsidR="000B4BE7">
        <w:rPr>
          <w:rFonts w:eastAsia="MS Mincho" w:hint="eastAsia"/>
          <w:lang w:val="en-GB" w:eastAsia="ja-JP"/>
        </w:rPr>
        <w:t>tem</w:t>
      </w:r>
      <w:r>
        <w:rPr>
          <w:rFonts w:eastAsia="MS Mincho"/>
          <w:lang w:val="en-GB" w:eastAsia="ja-JP"/>
        </w:rPr>
        <w:t>,</w:t>
      </w:r>
      <w:r w:rsidRPr="006E705E">
        <w:rPr>
          <w:rFonts w:eastAsia="MS Mincho"/>
          <w:lang w:val="en-GB" w:eastAsia="ja-JP"/>
        </w:rPr>
        <w:t xml:space="preserve"> </w:t>
      </w:r>
      <w:r w:rsidRPr="006E705E">
        <w:rPr>
          <w:rFonts w:eastAsia="MS Mincho" w:hint="eastAsia"/>
          <w:lang w:val="en-GB" w:eastAsia="ja-JP"/>
        </w:rPr>
        <w:t xml:space="preserve">taking into account the preliminary views </w:t>
      </w:r>
      <w:r w:rsidRPr="006E705E">
        <w:rPr>
          <w:rFonts w:eastAsia="MS Mincho"/>
          <w:lang w:val="en-GB" w:eastAsia="ja-JP"/>
        </w:rPr>
        <w:t>and submit contributions to the next APG meeting (APG1</w:t>
      </w:r>
      <w:r>
        <w:rPr>
          <w:rFonts w:eastAsia="MS Mincho"/>
          <w:lang w:val="en-GB" w:eastAsia="ja-JP"/>
        </w:rPr>
        <w:t>5</w:t>
      </w:r>
      <w:r w:rsidRPr="006E705E">
        <w:rPr>
          <w:rFonts w:eastAsia="MS Mincho"/>
          <w:lang w:val="en-GB" w:eastAsia="ja-JP"/>
        </w:rPr>
        <w:t>-3).</w:t>
      </w: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1"/>
      <w:footerReference w:type="even" r:id="rId12"/>
      <w:footerReference w:type="defaul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6B" w:rsidRDefault="00FB206B">
      <w:r>
        <w:separator/>
      </w:r>
    </w:p>
  </w:endnote>
  <w:endnote w:type="continuationSeparator" w:id="0">
    <w:p w:rsidR="00FB206B" w:rsidRDefault="00FB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931050">
      <w:rPr>
        <w:rStyle w:val="PageNumber"/>
        <w:noProof/>
      </w:rPr>
      <w:t>3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931050">
      <w:rPr>
        <w:rStyle w:val="PageNumber"/>
        <w:noProof/>
      </w:rPr>
      <w:t>4</w:t>
    </w:r>
    <w:r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6B" w:rsidRDefault="00FB206B">
      <w:r>
        <w:separator/>
      </w:r>
    </w:p>
  </w:footnote>
  <w:footnote w:type="continuationSeparator" w:id="0">
    <w:p w:rsidR="00FB206B" w:rsidRDefault="00FB2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95D9B">
      <w:rPr>
        <w:lang w:eastAsia="ko-KR"/>
      </w:rPr>
      <w:t>15-2</w:t>
    </w:r>
    <w:r w:rsidR="008319BF">
      <w:rPr>
        <w:rFonts w:hint="eastAsia"/>
        <w:lang w:eastAsia="ko-KR"/>
      </w:rPr>
      <w:t>/</w:t>
    </w:r>
    <w:r w:rsidR="00542F92">
      <w:rPr>
        <w:lang w:eastAsia="ko-KR"/>
      </w:rPr>
      <w:t>OUT-29</w:t>
    </w:r>
    <w:r w:rsidR="007654DE">
      <w:rPr>
        <w:lang w:eastAsia="ko-KR"/>
      </w:rPr>
      <w:t>(Rev.1)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2FC66952"/>
    <w:multiLevelType w:val="hybridMultilevel"/>
    <w:tmpl w:val="5F78E86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56844D1E"/>
    <w:multiLevelType w:val="hybridMultilevel"/>
    <w:tmpl w:val="95463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F43DB"/>
    <w:multiLevelType w:val="hybridMultilevel"/>
    <w:tmpl w:val="5F78E86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26C29"/>
    <w:rsid w:val="00030054"/>
    <w:rsid w:val="0003595B"/>
    <w:rsid w:val="000713CF"/>
    <w:rsid w:val="000756AE"/>
    <w:rsid w:val="00083380"/>
    <w:rsid w:val="000A5418"/>
    <w:rsid w:val="000B4BE7"/>
    <w:rsid w:val="000F517C"/>
    <w:rsid w:val="000F5540"/>
    <w:rsid w:val="00111B52"/>
    <w:rsid w:val="001539DD"/>
    <w:rsid w:val="001547CA"/>
    <w:rsid w:val="001703F2"/>
    <w:rsid w:val="00191B19"/>
    <w:rsid w:val="00196568"/>
    <w:rsid w:val="001A2CF1"/>
    <w:rsid w:val="001A2F16"/>
    <w:rsid w:val="001B18C2"/>
    <w:rsid w:val="001C610F"/>
    <w:rsid w:val="001D5D7E"/>
    <w:rsid w:val="001E37A0"/>
    <w:rsid w:val="001F25F5"/>
    <w:rsid w:val="00200589"/>
    <w:rsid w:val="0021008C"/>
    <w:rsid w:val="0021138C"/>
    <w:rsid w:val="00215B7A"/>
    <w:rsid w:val="00244322"/>
    <w:rsid w:val="00254A1B"/>
    <w:rsid w:val="0028454D"/>
    <w:rsid w:val="00290ABD"/>
    <w:rsid w:val="00291C9E"/>
    <w:rsid w:val="002926D4"/>
    <w:rsid w:val="00295D9B"/>
    <w:rsid w:val="002A14B9"/>
    <w:rsid w:val="002C07DA"/>
    <w:rsid w:val="002C7EA9"/>
    <w:rsid w:val="002F1354"/>
    <w:rsid w:val="00342F20"/>
    <w:rsid w:val="003778E2"/>
    <w:rsid w:val="003809C7"/>
    <w:rsid w:val="003B034F"/>
    <w:rsid w:val="003B6263"/>
    <w:rsid w:val="003C0242"/>
    <w:rsid w:val="003C19C6"/>
    <w:rsid w:val="003C64A7"/>
    <w:rsid w:val="003D39FB"/>
    <w:rsid w:val="003D3FDA"/>
    <w:rsid w:val="003E64E3"/>
    <w:rsid w:val="003E6F01"/>
    <w:rsid w:val="00420822"/>
    <w:rsid w:val="004251C2"/>
    <w:rsid w:val="0043388B"/>
    <w:rsid w:val="0045458F"/>
    <w:rsid w:val="00456963"/>
    <w:rsid w:val="004633B4"/>
    <w:rsid w:val="00473941"/>
    <w:rsid w:val="0049319D"/>
    <w:rsid w:val="004B30E4"/>
    <w:rsid w:val="004B3553"/>
    <w:rsid w:val="005148AA"/>
    <w:rsid w:val="00530E8C"/>
    <w:rsid w:val="00532D8B"/>
    <w:rsid w:val="00542F92"/>
    <w:rsid w:val="005437FC"/>
    <w:rsid w:val="00545933"/>
    <w:rsid w:val="00557544"/>
    <w:rsid w:val="00572E9C"/>
    <w:rsid w:val="00575309"/>
    <w:rsid w:val="00587875"/>
    <w:rsid w:val="00594E34"/>
    <w:rsid w:val="005C3FDC"/>
    <w:rsid w:val="005D23EF"/>
    <w:rsid w:val="005E02C0"/>
    <w:rsid w:val="00607E2B"/>
    <w:rsid w:val="00623936"/>
    <w:rsid w:val="00623CE1"/>
    <w:rsid w:val="0063062B"/>
    <w:rsid w:val="00667229"/>
    <w:rsid w:val="00682BE5"/>
    <w:rsid w:val="00686478"/>
    <w:rsid w:val="00690FED"/>
    <w:rsid w:val="006939A5"/>
    <w:rsid w:val="006A02CF"/>
    <w:rsid w:val="006A4000"/>
    <w:rsid w:val="006E3081"/>
    <w:rsid w:val="00712451"/>
    <w:rsid w:val="007235DC"/>
    <w:rsid w:val="00732F08"/>
    <w:rsid w:val="0073756E"/>
    <w:rsid w:val="0074190C"/>
    <w:rsid w:val="007565E9"/>
    <w:rsid w:val="00762576"/>
    <w:rsid w:val="007654DE"/>
    <w:rsid w:val="00791060"/>
    <w:rsid w:val="007A242E"/>
    <w:rsid w:val="007A507E"/>
    <w:rsid w:val="007B00DD"/>
    <w:rsid w:val="007B5626"/>
    <w:rsid w:val="0080570B"/>
    <w:rsid w:val="008148E1"/>
    <w:rsid w:val="008319BF"/>
    <w:rsid w:val="00852E6D"/>
    <w:rsid w:val="008949D8"/>
    <w:rsid w:val="008D0E09"/>
    <w:rsid w:val="009038D2"/>
    <w:rsid w:val="00931050"/>
    <w:rsid w:val="0097693B"/>
    <w:rsid w:val="00983808"/>
    <w:rsid w:val="00993355"/>
    <w:rsid w:val="009A4A6D"/>
    <w:rsid w:val="009F703F"/>
    <w:rsid w:val="00A13265"/>
    <w:rsid w:val="00A54A98"/>
    <w:rsid w:val="00A643D6"/>
    <w:rsid w:val="00A71136"/>
    <w:rsid w:val="00AA474C"/>
    <w:rsid w:val="00AB4C6A"/>
    <w:rsid w:val="00AC7DD7"/>
    <w:rsid w:val="00AD7E5F"/>
    <w:rsid w:val="00B01AA1"/>
    <w:rsid w:val="00B30C81"/>
    <w:rsid w:val="00B4793B"/>
    <w:rsid w:val="00B509C1"/>
    <w:rsid w:val="00C15633"/>
    <w:rsid w:val="00C15799"/>
    <w:rsid w:val="00C230FA"/>
    <w:rsid w:val="00C357AD"/>
    <w:rsid w:val="00C6069C"/>
    <w:rsid w:val="00C70F8D"/>
    <w:rsid w:val="00CD1DD5"/>
    <w:rsid w:val="00CD5431"/>
    <w:rsid w:val="00CE7AB5"/>
    <w:rsid w:val="00CF2491"/>
    <w:rsid w:val="00D1252E"/>
    <w:rsid w:val="00D13B41"/>
    <w:rsid w:val="00D24DFD"/>
    <w:rsid w:val="00D36655"/>
    <w:rsid w:val="00D45F96"/>
    <w:rsid w:val="00D57772"/>
    <w:rsid w:val="00D75A4D"/>
    <w:rsid w:val="00D8478B"/>
    <w:rsid w:val="00D86151"/>
    <w:rsid w:val="00DA7595"/>
    <w:rsid w:val="00DB0A68"/>
    <w:rsid w:val="00DC43A3"/>
    <w:rsid w:val="00DD7C09"/>
    <w:rsid w:val="00E0124F"/>
    <w:rsid w:val="00E46E99"/>
    <w:rsid w:val="00E61CE8"/>
    <w:rsid w:val="00E674D3"/>
    <w:rsid w:val="00E70FD0"/>
    <w:rsid w:val="00E9775E"/>
    <w:rsid w:val="00EB1CDC"/>
    <w:rsid w:val="00F13202"/>
    <w:rsid w:val="00F162C6"/>
    <w:rsid w:val="00F25528"/>
    <w:rsid w:val="00F71A28"/>
    <w:rsid w:val="00F71C7F"/>
    <w:rsid w:val="00F76671"/>
    <w:rsid w:val="00F84067"/>
    <w:rsid w:val="00F96F62"/>
    <w:rsid w:val="00F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1008C"/>
    <w:pPr>
      <w:spacing w:before="240"/>
      <w:ind w:left="1440" w:right="144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1008C"/>
    <w:rPr>
      <w:rFonts w:eastAsia="BatangChe"/>
      <w:i/>
      <w:iCs/>
      <w:color w:val="000000"/>
      <w:sz w:val="24"/>
      <w:szCs w:val="24"/>
      <w:lang w:eastAsia="en-US"/>
    </w:rPr>
  </w:style>
  <w:style w:type="character" w:styleId="Hyperlink">
    <w:name w:val="Hyperlink"/>
    <w:rsid w:val="0021008C"/>
    <w:rPr>
      <w:color w:val="0000FF"/>
      <w:u w:val="single"/>
    </w:rPr>
  </w:style>
  <w:style w:type="paragraph" w:customStyle="1" w:styleId="enumlev1">
    <w:name w:val="enumlev1"/>
    <w:basedOn w:val="Normal"/>
    <w:link w:val="enumlev1Char"/>
    <w:uiPriority w:val="99"/>
    <w:rsid w:val="00F71A28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Batang"/>
      <w:szCs w:val="20"/>
      <w:lang w:val="en-GB"/>
    </w:rPr>
  </w:style>
  <w:style w:type="character" w:customStyle="1" w:styleId="enumlev1Char">
    <w:name w:val="enumlev1 Char"/>
    <w:link w:val="enumlev1"/>
    <w:uiPriority w:val="99"/>
    <w:locked/>
    <w:rsid w:val="00F71A28"/>
    <w:rPr>
      <w:sz w:val="24"/>
      <w:lang w:val="en-GB" w:eastAsia="en-US"/>
    </w:rPr>
  </w:style>
  <w:style w:type="paragraph" w:customStyle="1" w:styleId="ECCParagraph">
    <w:name w:val="ECC Paragraph"/>
    <w:basedOn w:val="Normal"/>
    <w:rsid w:val="00F71A28"/>
    <w:pPr>
      <w:spacing w:after="240"/>
      <w:jc w:val="both"/>
    </w:pPr>
    <w:rPr>
      <w:rFonts w:ascii="Arial" w:eastAsia="Batang" w:hAnsi="Arial"/>
      <w:sz w:val="20"/>
      <w:lang w:val="en-GB"/>
    </w:rPr>
  </w:style>
  <w:style w:type="paragraph" w:styleId="BalloonText">
    <w:name w:val="Balloon Text"/>
    <w:basedOn w:val="Normal"/>
    <w:link w:val="BalloonTextChar"/>
    <w:rsid w:val="00200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0589"/>
    <w:rPr>
      <w:rFonts w:ascii="Tahoma" w:eastAsia="BatangChe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1008C"/>
    <w:pPr>
      <w:spacing w:before="240"/>
      <w:ind w:left="1440" w:right="144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1008C"/>
    <w:rPr>
      <w:rFonts w:eastAsia="BatangChe"/>
      <w:i/>
      <w:iCs/>
      <w:color w:val="000000"/>
      <w:sz w:val="24"/>
      <w:szCs w:val="24"/>
      <w:lang w:eastAsia="en-US"/>
    </w:rPr>
  </w:style>
  <w:style w:type="character" w:styleId="Hyperlink">
    <w:name w:val="Hyperlink"/>
    <w:rsid w:val="0021008C"/>
    <w:rPr>
      <w:color w:val="0000FF"/>
      <w:u w:val="single"/>
    </w:rPr>
  </w:style>
  <w:style w:type="paragraph" w:customStyle="1" w:styleId="enumlev1">
    <w:name w:val="enumlev1"/>
    <w:basedOn w:val="Normal"/>
    <w:link w:val="enumlev1Char"/>
    <w:uiPriority w:val="99"/>
    <w:rsid w:val="00F71A28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Batang"/>
      <w:szCs w:val="20"/>
      <w:lang w:val="en-GB"/>
    </w:rPr>
  </w:style>
  <w:style w:type="character" w:customStyle="1" w:styleId="enumlev1Char">
    <w:name w:val="enumlev1 Char"/>
    <w:link w:val="enumlev1"/>
    <w:uiPriority w:val="99"/>
    <w:locked/>
    <w:rsid w:val="00F71A28"/>
    <w:rPr>
      <w:sz w:val="24"/>
      <w:lang w:val="en-GB" w:eastAsia="en-US"/>
    </w:rPr>
  </w:style>
  <w:style w:type="paragraph" w:customStyle="1" w:styleId="ECCParagraph">
    <w:name w:val="ECC Paragraph"/>
    <w:basedOn w:val="Normal"/>
    <w:rsid w:val="00F71A28"/>
    <w:pPr>
      <w:spacing w:after="240"/>
      <w:jc w:val="both"/>
    </w:pPr>
    <w:rPr>
      <w:rFonts w:ascii="Arial" w:eastAsia="Batang" w:hAnsi="Arial"/>
      <w:sz w:val="20"/>
      <w:lang w:val="en-GB"/>
    </w:rPr>
  </w:style>
  <w:style w:type="paragraph" w:styleId="BalloonText">
    <w:name w:val="Balloon Text"/>
    <w:basedOn w:val="Normal"/>
    <w:link w:val="BalloonTextChar"/>
    <w:rsid w:val="00200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0589"/>
    <w:rPr>
      <w:rFonts w:ascii="Tahoma" w:eastAsia="BatangChe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6864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1C9F1B-90D3-4ED5-AD8A-4F7AF201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APT</Company>
  <LinksUpToDate>false</LinksUpToDate>
  <CharactersWithSpaces>1566</CharactersWithSpaces>
  <SharedDoc>false</SharedDoc>
  <HLinks>
    <vt:vector size="6" baseType="variant">
      <vt:variant>
        <vt:i4>4194402</vt:i4>
      </vt:variant>
      <vt:variant>
        <vt:i4>8</vt:i4>
      </vt:variant>
      <vt:variant>
        <vt:i4>0</vt:i4>
      </vt:variant>
      <vt:variant>
        <vt:i4>5</vt:i4>
      </vt:variant>
      <vt:variant>
        <vt:lpwstr>mailto:s-oyama@arib.or.jp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2004-07-28T02:14:00Z</cp:lastPrinted>
  <dcterms:created xsi:type="dcterms:W3CDTF">2013-07-16T06:45:00Z</dcterms:created>
  <dcterms:modified xsi:type="dcterms:W3CDTF">2013-07-16T06:45:00Z</dcterms:modified>
</cp:coreProperties>
</file>