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295D9B" w:rsidRPr="00891D0B" w:rsidTr="006A4000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F74E9C" w:rsidP="006A400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 w:bidi="th-TH"/>
              </w:rPr>
              <w:drawing>
                <wp:inline distT="0" distB="0" distL="0" distR="0">
                  <wp:extent cx="758825" cy="664210"/>
                  <wp:effectExtent l="0" t="0" r="3175" b="254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295D9B" w:rsidRPr="00891D0B" w:rsidRDefault="00295D9B" w:rsidP="006A4000">
            <w:pPr>
              <w:pStyle w:val="Heading8"/>
              <w:rPr>
                <w:sz w:val="24"/>
                <w:szCs w:val="24"/>
              </w:rPr>
            </w:pPr>
          </w:p>
        </w:tc>
      </w:tr>
      <w:tr w:rsidR="00295D9B" w:rsidRPr="00C15799" w:rsidTr="006A4000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>
            <w:pPr>
              <w:spacing w:line="0" w:lineRule="atLeast"/>
            </w:pPr>
            <w:r>
              <w:rPr>
                <w:b/>
              </w:rPr>
              <w:t>APT Conference Preparatory  Group for WRC-15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DF395C" w:rsidRDefault="00295D9B" w:rsidP="002235BD">
            <w:pPr>
              <w:widowControl w:val="0"/>
              <w:wordWrap w:val="0"/>
              <w:ind w:left="-9"/>
              <w:rPr>
                <w:rFonts w:eastAsiaTheme="minorEastAsia"/>
                <w:b/>
                <w:bCs/>
                <w:lang w:val="fr-FR" w:eastAsia="ko-KR"/>
              </w:rPr>
            </w:pPr>
          </w:p>
        </w:tc>
      </w:tr>
      <w:tr w:rsidR="00295D9B" w:rsidRPr="00891D0B" w:rsidTr="006A4000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C15799" w:rsidRDefault="00295D9B" w:rsidP="006A4000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891D0B" w:rsidRDefault="00295D9B" w:rsidP="006A4000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712451" w:rsidRDefault="00295D9B" w:rsidP="008B4EEB">
            <w:pPr>
              <w:rPr>
                <w:b/>
              </w:rPr>
            </w:pPr>
          </w:p>
        </w:tc>
      </w:tr>
    </w:tbl>
    <w:p w:rsidR="00DA7595" w:rsidRDefault="00B22028" w:rsidP="00DA7595">
      <w:pPr>
        <w:rPr>
          <w:lang w:eastAsia="ko-KR"/>
        </w:rPr>
      </w:pPr>
      <w:r>
        <w:rPr>
          <w:lang w:eastAsia="ko-KR"/>
        </w:rPr>
        <w:t>Source: APG15-2/OUT-20(Rev.1)</w:t>
      </w:r>
    </w:p>
    <w:p w:rsidR="00D13B41" w:rsidRDefault="00D13B41" w:rsidP="00DA7595">
      <w:pPr>
        <w:jc w:val="center"/>
        <w:rPr>
          <w:b/>
          <w:sz w:val="28"/>
          <w:szCs w:val="28"/>
          <w:lang w:eastAsia="ko-KR"/>
        </w:rPr>
      </w:pPr>
    </w:p>
    <w:p w:rsidR="002E455C" w:rsidRPr="002235BD" w:rsidRDefault="002E455C" w:rsidP="002E455C">
      <w:pPr>
        <w:jc w:val="center"/>
        <w:rPr>
          <w:rFonts w:eastAsiaTheme="minorEastAsia"/>
          <w:b/>
          <w:bCs/>
          <w:caps/>
          <w:sz w:val="28"/>
          <w:szCs w:val="28"/>
          <w:lang w:eastAsia="ko-KR"/>
        </w:rPr>
      </w:pPr>
      <w:r>
        <w:rPr>
          <w:b/>
          <w:bCs/>
          <w:caps/>
          <w:sz w:val="28"/>
          <w:szCs w:val="28"/>
        </w:rPr>
        <w:t xml:space="preserve">preliminary views on WRC-15 agenda item </w:t>
      </w:r>
      <w:r>
        <w:rPr>
          <w:rFonts w:hint="eastAsia"/>
          <w:b/>
          <w:bCs/>
          <w:caps/>
          <w:sz w:val="28"/>
          <w:szCs w:val="28"/>
          <w:lang w:eastAsia="ko-KR"/>
        </w:rPr>
        <w:t>1.</w:t>
      </w:r>
      <w:r>
        <w:rPr>
          <w:rFonts w:eastAsiaTheme="minorEastAsia" w:hint="eastAsia"/>
          <w:b/>
          <w:bCs/>
          <w:caps/>
          <w:sz w:val="28"/>
          <w:szCs w:val="28"/>
          <w:lang w:eastAsia="ko-KR"/>
        </w:rPr>
        <w:t>2</w:t>
      </w:r>
    </w:p>
    <w:p w:rsidR="00C357AD" w:rsidRPr="00607E2B" w:rsidRDefault="00C357AD" w:rsidP="008B4EEB">
      <w:pPr>
        <w:jc w:val="center"/>
        <w:rPr>
          <w:b/>
          <w:bCs/>
          <w:caps/>
          <w:sz w:val="28"/>
          <w:szCs w:val="28"/>
        </w:rPr>
      </w:pPr>
    </w:p>
    <w:p w:rsidR="00DB0A68" w:rsidRDefault="00DB0A68" w:rsidP="00C357AD">
      <w:pPr>
        <w:jc w:val="center"/>
      </w:pPr>
    </w:p>
    <w:p w:rsidR="00C357AD" w:rsidRDefault="00C357AD" w:rsidP="00C357AD">
      <w:pPr>
        <w:jc w:val="center"/>
        <w:rPr>
          <w:b/>
        </w:rPr>
      </w:pPr>
    </w:p>
    <w:p w:rsidR="00C357AD" w:rsidRDefault="00C357AD" w:rsidP="00C357AD">
      <w:pPr>
        <w:jc w:val="both"/>
        <w:rPr>
          <w:b/>
        </w:rPr>
      </w:pPr>
    </w:p>
    <w:p w:rsidR="008319BF" w:rsidRDefault="000A5418" w:rsidP="008B4EEB">
      <w:pPr>
        <w:jc w:val="both"/>
      </w:pPr>
      <w:r>
        <w:rPr>
          <w:b/>
        </w:rPr>
        <w:t xml:space="preserve">Agenda Item </w:t>
      </w:r>
      <w:r w:rsidR="008B4EEB">
        <w:rPr>
          <w:b/>
        </w:rPr>
        <w:t>1</w:t>
      </w:r>
      <w:r>
        <w:rPr>
          <w:b/>
        </w:rPr>
        <w:t>.</w:t>
      </w:r>
      <w:r w:rsidR="008B4EEB">
        <w:rPr>
          <w:b/>
        </w:rPr>
        <w:t>2</w:t>
      </w:r>
      <w:r>
        <w:rPr>
          <w:b/>
        </w:rPr>
        <w:t xml:space="preserve">: </w:t>
      </w:r>
    </w:p>
    <w:p w:rsidR="000A5418" w:rsidRDefault="008B4EEB" w:rsidP="008B4EEB">
      <w:pPr>
        <w:jc w:val="both"/>
        <w:rPr>
          <w:i/>
        </w:rPr>
      </w:pPr>
      <w:r w:rsidRPr="008B4EEB">
        <w:rPr>
          <w:i/>
        </w:rPr>
        <w:t xml:space="preserve">to examine the results of ITU-R studies, in accordance with Resolution </w:t>
      </w:r>
      <w:r w:rsidRPr="008B4EEB">
        <w:rPr>
          <w:b/>
          <w:i/>
        </w:rPr>
        <w:t>232 (WRC-12)</w:t>
      </w:r>
      <w:r w:rsidRPr="008B4EEB">
        <w:rPr>
          <w:i/>
        </w:rPr>
        <w:t>, on the use of the frequency band 694-790 MHz by the mobile, except aeronautical mobile, service in Region 1 and take the appropriate measures</w:t>
      </w:r>
      <w:r w:rsidRPr="008B4EEB">
        <w:rPr>
          <w:rFonts w:hint="eastAsia"/>
          <w:i/>
        </w:rPr>
        <w:t>.</w:t>
      </w:r>
    </w:p>
    <w:p w:rsidR="008B4EEB" w:rsidRDefault="008B4EEB" w:rsidP="008B4EEB">
      <w:pPr>
        <w:rPr>
          <w:rFonts w:eastAsia="Times New Roman"/>
          <w:i/>
          <w:iCs/>
          <w:lang w:val="en-GB" w:eastAsia="ja-JP"/>
        </w:rPr>
      </w:pPr>
      <w:r w:rsidRPr="00797E15">
        <w:rPr>
          <w:rFonts w:eastAsia="Times New Roman"/>
          <w:lang w:val="en-GB" w:eastAsia="ja-JP"/>
        </w:rPr>
        <w:t xml:space="preserve">Resolution </w:t>
      </w:r>
      <w:r w:rsidRPr="00797E15">
        <w:rPr>
          <w:rFonts w:eastAsia="Times New Roman"/>
          <w:b/>
          <w:bCs/>
          <w:lang w:val="en-GB" w:eastAsia="ja-JP"/>
        </w:rPr>
        <w:t>232 (WRC</w:t>
      </w:r>
      <w:r w:rsidRPr="00797E15">
        <w:rPr>
          <w:rFonts w:eastAsia="Times New Roman"/>
          <w:b/>
          <w:bCs/>
          <w:lang w:val="en-GB" w:eastAsia="ja-JP"/>
        </w:rPr>
        <w:noBreakHyphen/>
        <w:t>12)</w:t>
      </w:r>
      <w:r w:rsidRPr="00797E15">
        <w:rPr>
          <w:rFonts w:eastAsia="Times New Roman"/>
          <w:lang w:eastAsia="ja-JP"/>
        </w:rPr>
        <w:t xml:space="preserve">: </w:t>
      </w:r>
      <w:r w:rsidRPr="00797E15">
        <w:rPr>
          <w:rFonts w:eastAsia="Times New Roman"/>
          <w:i/>
          <w:iCs/>
          <w:lang w:val="en-GB" w:eastAsia="ja-JP"/>
        </w:rPr>
        <w:t>Use of the frequency band 694-790 MHz by the mobile, except aeronautical mobile, service in Region 1 and related studies</w:t>
      </w:r>
    </w:p>
    <w:p w:rsidR="000A5418" w:rsidRDefault="000A5418" w:rsidP="00C357AD">
      <w:pPr>
        <w:jc w:val="both"/>
      </w:pPr>
    </w:p>
    <w:p w:rsidR="006A02CF" w:rsidRDefault="006A02CF" w:rsidP="00C357AD">
      <w:pPr>
        <w:jc w:val="both"/>
        <w:rPr>
          <w:b/>
        </w:rPr>
      </w:pPr>
    </w:p>
    <w:p w:rsidR="00D616A3" w:rsidRDefault="006A02CF" w:rsidP="002E455C">
      <w:pPr>
        <w:jc w:val="both"/>
        <w:rPr>
          <w:rFonts w:eastAsiaTheme="minorEastAsia"/>
          <w:b/>
          <w:lang w:eastAsia="ko-KR"/>
        </w:rPr>
      </w:pPr>
      <w:r>
        <w:rPr>
          <w:b/>
        </w:rPr>
        <w:t>APT Preliminary Views:</w:t>
      </w:r>
    </w:p>
    <w:p w:rsidR="002E455C" w:rsidRPr="002E455C" w:rsidRDefault="009744A9" w:rsidP="002E455C">
      <w:pPr>
        <w:pStyle w:val="ListParagraph"/>
        <w:numPr>
          <w:ilvl w:val="0"/>
          <w:numId w:val="12"/>
        </w:num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ind w:firstLineChars="0"/>
        <w:rPr>
          <w:rFonts w:eastAsiaTheme="minorEastAsia"/>
          <w:lang w:eastAsia="ko-KR"/>
        </w:rPr>
      </w:pPr>
      <w:r w:rsidRPr="002E455C">
        <w:rPr>
          <w:rFonts w:eastAsia="Times New Roman" w:hint="eastAsia"/>
          <w:lang w:eastAsia="zh-CN"/>
        </w:rPr>
        <w:t xml:space="preserve">any possible regulatory </w:t>
      </w:r>
      <w:r w:rsidRPr="002E455C">
        <w:rPr>
          <w:rFonts w:hint="eastAsia"/>
          <w:lang w:eastAsia="ko-KR"/>
        </w:rPr>
        <w:t>actions</w:t>
      </w:r>
      <w:r w:rsidRPr="002E455C">
        <w:rPr>
          <w:rFonts w:eastAsia="Times New Roman" w:hint="eastAsia"/>
          <w:lang w:eastAsia="zh-CN"/>
        </w:rPr>
        <w:t xml:space="preserve"> </w:t>
      </w:r>
      <w:r w:rsidRPr="00CA73F6">
        <w:t>under WRC-15 Agenda item 1.2</w:t>
      </w:r>
      <w:r w:rsidRPr="002E455C">
        <w:rPr>
          <w:rFonts w:eastAsia="Times New Roman" w:hint="eastAsia"/>
          <w:lang w:eastAsia="zh-CN"/>
        </w:rPr>
        <w:t xml:space="preserve"> should be limited to Region 1</w:t>
      </w:r>
      <w:r w:rsidR="00BF1F70" w:rsidRPr="002E455C">
        <w:rPr>
          <w:rFonts w:eastAsiaTheme="minorEastAsia" w:hint="eastAsia"/>
          <w:lang w:eastAsia="ko-KR"/>
        </w:rPr>
        <w:t xml:space="preserve"> </w:t>
      </w:r>
    </w:p>
    <w:p w:rsidR="009744A9" w:rsidRPr="002E455C" w:rsidRDefault="009744A9" w:rsidP="00B9021F">
      <w:pPr>
        <w:pStyle w:val="ListParagraph"/>
        <w:numPr>
          <w:ilvl w:val="0"/>
          <w:numId w:val="12"/>
        </w:num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ind w:firstLineChars="0"/>
        <w:rPr>
          <w:rFonts w:eastAsia="MS Mincho"/>
          <w:bCs/>
          <w:szCs w:val="20"/>
          <w:lang w:val="en-GB" w:eastAsia="ja-JP"/>
        </w:rPr>
      </w:pPr>
      <w:r w:rsidRPr="002E455C">
        <w:rPr>
          <w:rFonts w:eastAsia="Times New Roman"/>
          <w:lang w:eastAsia="zh-CN"/>
        </w:rPr>
        <w:t xml:space="preserve">APT members </w:t>
      </w:r>
      <w:r w:rsidRPr="002E455C">
        <w:rPr>
          <w:rFonts w:eastAsiaTheme="minorEastAsia"/>
          <w:lang w:eastAsia="ko-KR"/>
        </w:rPr>
        <w:t>support</w:t>
      </w:r>
      <w:r w:rsidRPr="002E455C">
        <w:rPr>
          <w:rFonts w:eastAsia="Times New Roman"/>
          <w:lang w:eastAsia="zh-CN"/>
        </w:rPr>
        <w:t xml:space="preserve"> </w:t>
      </w:r>
      <w:r w:rsidRPr="002E455C">
        <w:rPr>
          <w:rFonts w:eastAsia="MS Mincho" w:hint="eastAsia"/>
          <w:szCs w:val="20"/>
          <w:lang w:val="en-GB" w:eastAsia="ja-JP"/>
        </w:rPr>
        <w:t xml:space="preserve">the studies being conducted in ITU-R in accordance with Resolution </w:t>
      </w:r>
      <w:r w:rsidRPr="002E455C">
        <w:rPr>
          <w:rFonts w:eastAsia="MS Mincho"/>
          <w:b/>
          <w:szCs w:val="20"/>
          <w:lang w:val="en-GB" w:eastAsia="ja-JP"/>
        </w:rPr>
        <w:t xml:space="preserve">232 (WRC-12) </w:t>
      </w:r>
    </w:p>
    <w:p w:rsidR="006A02CF" w:rsidRDefault="006A02CF" w:rsidP="00C357AD">
      <w:pPr>
        <w:jc w:val="both"/>
        <w:rPr>
          <w:b/>
        </w:rPr>
      </w:pPr>
    </w:p>
    <w:p w:rsidR="0097088A" w:rsidRPr="002E455C" w:rsidRDefault="00F65140" w:rsidP="00206B2A">
      <w:pPr>
        <w:pStyle w:val="ListParagraph"/>
        <w:numPr>
          <w:ilvl w:val="0"/>
          <w:numId w:val="12"/>
        </w:num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ind w:firstLineChars="0"/>
        <w:rPr>
          <w:rFonts w:eastAsiaTheme="minorEastAsia"/>
          <w:lang w:eastAsia="ko-KR"/>
        </w:rPr>
      </w:pPr>
      <w:r w:rsidRPr="00F65140">
        <w:rPr>
          <w:rFonts w:eastAsia="Times New Roman"/>
          <w:lang w:eastAsia="zh-CN"/>
        </w:rPr>
        <w:t>In the decisions of WRC-15 on Agenda Item 1.2</w:t>
      </w:r>
      <w:proofErr w:type="gramStart"/>
      <w:r w:rsidRPr="00F65140">
        <w:rPr>
          <w:rFonts w:eastAsia="Times New Roman"/>
          <w:lang w:eastAsia="zh-CN"/>
        </w:rPr>
        <w:t>,</w:t>
      </w:r>
      <w:r w:rsidR="0097088A" w:rsidRPr="002E455C">
        <w:rPr>
          <w:rFonts w:eastAsia="Times New Roman"/>
          <w:lang w:eastAsia="zh-CN"/>
        </w:rPr>
        <w:t>the</w:t>
      </w:r>
      <w:proofErr w:type="gramEnd"/>
      <w:r w:rsidR="0097088A" w:rsidRPr="002E455C">
        <w:rPr>
          <w:rFonts w:eastAsia="Times New Roman"/>
          <w:lang w:eastAsia="zh-CN"/>
        </w:rPr>
        <w:t xml:space="preserve"> integrity of GE-06 Agreement </w:t>
      </w:r>
      <w:r w:rsidR="0097088A" w:rsidRPr="002E455C">
        <w:rPr>
          <w:rFonts w:eastAsiaTheme="minorEastAsia" w:hint="eastAsia"/>
          <w:lang w:eastAsia="ko-KR"/>
        </w:rPr>
        <w:t xml:space="preserve">( </w:t>
      </w:r>
      <w:r w:rsidR="0097088A" w:rsidRPr="002E455C">
        <w:rPr>
          <w:rFonts w:eastAsia="Times New Roman"/>
          <w:lang w:eastAsia="zh-CN"/>
        </w:rPr>
        <w:t xml:space="preserve">  in relation to I.R Iran need</w:t>
      </w:r>
      <w:r w:rsidR="0097088A" w:rsidRPr="002E455C">
        <w:rPr>
          <w:rFonts w:eastAsiaTheme="minorEastAsia" w:hint="eastAsia"/>
          <w:lang w:eastAsia="ko-KR"/>
        </w:rPr>
        <w:t>s</w:t>
      </w:r>
      <w:r w:rsidR="0097088A" w:rsidRPr="002E455C">
        <w:rPr>
          <w:rFonts w:eastAsia="Times New Roman"/>
          <w:lang w:eastAsia="zh-CN"/>
        </w:rPr>
        <w:t xml:space="preserve"> to be ensured</w:t>
      </w:r>
      <w:r w:rsidR="0097088A" w:rsidRPr="002E455C">
        <w:rPr>
          <w:rFonts w:eastAsiaTheme="minorEastAsia" w:hint="eastAsia"/>
          <w:lang w:eastAsia="ko-KR"/>
        </w:rPr>
        <w:t>.</w:t>
      </w:r>
    </w:p>
    <w:p w:rsidR="0097088A" w:rsidRDefault="0097088A" w:rsidP="002E455C">
      <w:pPr>
        <w:pStyle w:val="ListParagraph"/>
        <w:numPr>
          <w:ilvl w:val="0"/>
          <w:numId w:val="12"/>
        </w:num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ind w:firstLineChars="0"/>
        <w:rPr>
          <w:rFonts w:eastAsiaTheme="minorEastAsia"/>
          <w:lang w:eastAsia="ko-KR"/>
        </w:rPr>
      </w:pPr>
      <w:r w:rsidRPr="002E455C">
        <w:rPr>
          <w:rFonts w:eastAsiaTheme="minorEastAsia" w:hint="eastAsia"/>
          <w:lang w:eastAsia="ko-KR"/>
        </w:rPr>
        <w:t>no constraint should be caused to services allocated on a primary basis to  administrations in Region 3</w:t>
      </w:r>
    </w:p>
    <w:p w:rsidR="00206B2A" w:rsidRDefault="00206B2A" w:rsidP="00206B2A">
      <w:pPr>
        <w:pStyle w:val="ListParagraph"/>
        <w:numPr>
          <w:ilvl w:val="0"/>
          <w:numId w:val="12"/>
        </w:numPr>
        <w:ind w:firstLineChars="0"/>
      </w:pPr>
      <w:r w:rsidRPr="00206B2A">
        <w:rPr>
          <w:rFonts w:eastAsia="MS Mincho"/>
          <w:bCs/>
          <w:szCs w:val="20"/>
          <w:lang w:val="en-GB" w:eastAsia="ja-JP"/>
        </w:rPr>
        <w:t>necessary action to be taken with a view to Include the allocation of 694-790MHz referred to in A.I 1.2  in Article 5 of Radio Regulation, as appropriate, based on the result  of compatibility and sharing studies together with appropriate regulatory procedures</w:t>
      </w:r>
    </w:p>
    <w:p w:rsidR="000C5A79" w:rsidRPr="002E455C" w:rsidRDefault="00206B2A" w:rsidP="002E455C">
      <w:pPr>
        <w:pStyle w:val="ListParagraph"/>
        <w:numPr>
          <w:ilvl w:val="0"/>
          <w:numId w:val="12"/>
        </w:num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ind w:firstLineChars="0"/>
        <w:rPr>
          <w:rFonts w:eastAsiaTheme="minorEastAsia"/>
          <w:lang w:eastAsia="ko-KR"/>
        </w:rPr>
      </w:pPr>
      <w:r>
        <w:rPr>
          <w:lang w:eastAsia="ko-KR"/>
        </w:rPr>
        <w:t xml:space="preserve">In so doing, </w:t>
      </w:r>
      <w:r w:rsidR="0097088A">
        <w:rPr>
          <w:rFonts w:hint="eastAsia"/>
          <w:lang w:eastAsia="ko-KR"/>
        </w:rPr>
        <w:t xml:space="preserve">global </w:t>
      </w:r>
      <w:r w:rsidR="0097088A" w:rsidRPr="002E455C">
        <w:rPr>
          <w:rFonts w:eastAsiaTheme="minorEastAsia" w:hint="eastAsia"/>
          <w:lang w:eastAsia="ko-KR"/>
        </w:rPr>
        <w:t>harmonization</w:t>
      </w:r>
      <w:r w:rsidR="0097088A">
        <w:rPr>
          <w:lang w:eastAsia="ko-KR"/>
        </w:rPr>
        <w:t xml:space="preserve"> of the channeling arrangement for the mobile service need to be explored and adopted in the band below 790MHz,</w:t>
      </w:r>
      <w:r w:rsidR="0097088A" w:rsidRPr="00A20C9A">
        <w:t xml:space="preserve"> </w:t>
      </w:r>
      <w:r w:rsidR="0097088A">
        <w:rPr>
          <w:lang w:eastAsia="ko-KR"/>
        </w:rPr>
        <w:t>,to the extent feasible,</w:t>
      </w:r>
      <w:r w:rsidR="0097088A">
        <w:rPr>
          <w:rFonts w:hint="eastAsia"/>
          <w:lang w:eastAsia="ko-KR"/>
        </w:rPr>
        <w:t xml:space="preserve"> taking into account </w:t>
      </w:r>
      <w:r w:rsidR="0097088A">
        <w:rPr>
          <w:lang w:eastAsia="ko-KR"/>
        </w:rPr>
        <w:t>channeling</w:t>
      </w:r>
      <w:r w:rsidR="0097088A">
        <w:rPr>
          <w:rFonts w:hint="eastAsia"/>
          <w:lang w:eastAsia="ko-KR"/>
        </w:rPr>
        <w:t xml:space="preserve"> arrangements in the band 698-806 MHz </w:t>
      </w:r>
      <w:r w:rsidR="0097088A">
        <w:rPr>
          <w:lang w:eastAsia="ko-KR"/>
        </w:rPr>
        <w:t xml:space="preserve">as contained </w:t>
      </w:r>
      <w:r w:rsidR="0097088A">
        <w:rPr>
          <w:rFonts w:hint="eastAsia"/>
          <w:lang w:eastAsia="ko-KR"/>
        </w:rPr>
        <w:t>in Recommendation ITU-R M.1036</w:t>
      </w:r>
      <w:r w:rsidR="0097088A">
        <w:rPr>
          <w:lang w:eastAsia="ko-KR"/>
        </w:rPr>
        <w:t xml:space="preserve">. </w:t>
      </w:r>
      <w:r w:rsidR="0097088A">
        <w:t xml:space="preserve"> </w:t>
      </w:r>
    </w:p>
    <w:p w:rsidR="00DF395C" w:rsidRPr="00DF395C" w:rsidRDefault="00206B2A" w:rsidP="00DF395C">
      <w:pPr>
        <w:pStyle w:val="ListParagraph"/>
        <w:numPr>
          <w:ilvl w:val="0"/>
          <w:numId w:val="12"/>
        </w:num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ind w:firstLineChars="0"/>
        <w:rPr>
          <w:rFonts w:eastAsiaTheme="minorEastAsia"/>
          <w:b/>
          <w:lang w:eastAsia="ko-KR"/>
        </w:rPr>
      </w:pPr>
      <w:r w:rsidRPr="002E455C">
        <w:rPr>
          <w:rFonts w:eastAsiaTheme="minorEastAsia" w:hint="eastAsia"/>
          <w:lang w:eastAsia="ko-KR"/>
        </w:rPr>
        <w:t>It is noted that</w:t>
      </w:r>
      <w:r>
        <w:t xml:space="preserve"> some parts of "APT preliminary views"</w:t>
      </w:r>
      <w:r w:rsidRPr="002E455C">
        <w:rPr>
          <w:rFonts w:eastAsiaTheme="minorEastAsia" w:hint="eastAsia"/>
          <w:lang w:eastAsia="ko-KR"/>
        </w:rPr>
        <w:t xml:space="preserve">, above </w:t>
      </w:r>
      <w:r>
        <w:t>in relation to Region 1 are out</w:t>
      </w:r>
      <w:r w:rsidRPr="002E455C">
        <w:rPr>
          <w:rFonts w:eastAsiaTheme="minorEastAsia" w:hint="eastAsia"/>
          <w:lang w:eastAsia="ko-KR"/>
        </w:rPr>
        <w:t>side</w:t>
      </w:r>
      <w:r>
        <w:t xml:space="preserve"> </w:t>
      </w:r>
      <w:r w:rsidRPr="002E455C">
        <w:rPr>
          <w:rFonts w:eastAsiaTheme="minorEastAsia" w:hint="eastAsia"/>
          <w:lang w:eastAsia="ko-KR"/>
        </w:rPr>
        <w:t xml:space="preserve">the </w:t>
      </w:r>
      <w:r>
        <w:t>responsibility of Region 3.</w:t>
      </w:r>
      <w:r w:rsidRPr="002E455C">
        <w:rPr>
          <w:rFonts w:eastAsiaTheme="minorEastAsia" w:hint="eastAsia"/>
          <w:lang w:eastAsia="ko-KR"/>
        </w:rPr>
        <w:t xml:space="preserve"> </w:t>
      </w:r>
    </w:p>
    <w:p w:rsidR="00A61B0C" w:rsidRPr="00DF395C" w:rsidRDefault="00A61B0C" w:rsidP="00DF395C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rPr>
          <w:rFonts w:eastAsiaTheme="minorEastAsia"/>
          <w:b/>
          <w:lang w:eastAsia="ko-KR"/>
        </w:rPr>
      </w:pPr>
      <w:r w:rsidRPr="00DF395C">
        <w:rPr>
          <w:b/>
        </w:rPr>
        <w:t>Other Views:</w:t>
      </w:r>
    </w:p>
    <w:p w:rsidR="00C75BBF" w:rsidRPr="00DF395C" w:rsidRDefault="00DF395C" w:rsidP="00DF395C">
      <w:pPr>
        <w:pStyle w:val="ListParagraph"/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ind w:left="750" w:firstLineChars="0" w:firstLine="0"/>
        <w:rPr>
          <w:rFonts w:eastAsiaTheme="minorEastAsia"/>
          <w:bCs/>
          <w:lang w:eastAsia="ko-KR"/>
        </w:rPr>
      </w:pPr>
      <w:r>
        <w:rPr>
          <w:rFonts w:eastAsiaTheme="minorEastAsia"/>
          <w:bCs/>
          <w:lang w:eastAsia="ko-KR"/>
        </w:rPr>
        <w:t>No other views.</w:t>
      </w:r>
      <w:bookmarkStart w:id="0" w:name="_GoBack"/>
      <w:bookmarkEnd w:id="0"/>
    </w:p>
    <w:p w:rsidR="002E455C" w:rsidRPr="002E455C" w:rsidRDefault="002E455C" w:rsidP="00C357AD">
      <w:pPr>
        <w:jc w:val="both"/>
        <w:rPr>
          <w:rFonts w:eastAsiaTheme="minorEastAsia"/>
          <w:b/>
          <w:lang w:eastAsia="ko-KR"/>
        </w:rPr>
      </w:pPr>
    </w:p>
    <w:p w:rsidR="006A02CF" w:rsidRPr="000A5418" w:rsidRDefault="00D36655" w:rsidP="00C357AD">
      <w:pPr>
        <w:jc w:val="both"/>
        <w:rPr>
          <w:b/>
        </w:rPr>
      </w:pPr>
      <w:r>
        <w:rPr>
          <w:b/>
        </w:rPr>
        <w:t>Issues for Consideration at APG</w:t>
      </w:r>
      <w:r w:rsidR="007B00DD">
        <w:rPr>
          <w:b/>
        </w:rPr>
        <w:t>15-3</w:t>
      </w:r>
      <w:r>
        <w:rPr>
          <w:b/>
        </w:rPr>
        <w:t xml:space="preserve"> Meeting:</w:t>
      </w:r>
      <w:r w:rsidR="006A02CF">
        <w:rPr>
          <w:b/>
        </w:rPr>
        <w:t xml:space="preserve">  </w:t>
      </w:r>
    </w:p>
    <w:p w:rsidR="008319BF" w:rsidRPr="009744A9" w:rsidRDefault="004456CA" w:rsidP="002E455C">
      <w:pPr>
        <w:pStyle w:val="BULLET"/>
        <w:rPr>
          <w:bCs/>
        </w:rPr>
      </w:pPr>
      <w:r w:rsidRPr="009744A9">
        <w:rPr>
          <w:bCs/>
        </w:rPr>
        <w:t>Based on the output of JTG 4-5</w:t>
      </w:r>
      <w:r w:rsidR="009744A9">
        <w:rPr>
          <w:bCs/>
        </w:rPr>
        <w:t>-6-7</w:t>
      </w:r>
      <w:r w:rsidR="002E455C">
        <w:rPr>
          <w:rFonts w:eastAsiaTheme="minorEastAsia" w:hint="eastAsia"/>
          <w:bCs/>
          <w:lang w:eastAsia="ko-KR"/>
        </w:rPr>
        <w:t>,</w:t>
      </w:r>
      <w:r w:rsidRPr="009744A9">
        <w:rPr>
          <w:bCs/>
        </w:rPr>
        <w:t xml:space="preserve"> </w:t>
      </w:r>
      <w:r w:rsidR="009744A9">
        <w:rPr>
          <w:bCs/>
        </w:rPr>
        <w:t>APT</w:t>
      </w:r>
      <w:r w:rsidRPr="009744A9">
        <w:rPr>
          <w:bCs/>
        </w:rPr>
        <w:t xml:space="preserve"> </w:t>
      </w:r>
      <w:r w:rsidR="009744A9" w:rsidRPr="009744A9">
        <w:rPr>
          <w:bCs/>
        </w:rPr>
        <w:t>members are invited to contribute to the next APG meeting</w:t>
      </w:r>
      <w:r w:rsidR="003A40AC">
        <w:rPr>
          <w:bCs/>
        </w:rPr>
        <w:t>.</w:t>
      </w:r>
    </w:p>
    <w:p w:rsidR="00DA7595" w:rsidRPr="009A4A6D" w:rsidRDefault="00C357AD" w:rsidP="009A4A6D">
      <w:pPr>
        <w:jc w:val="center"/>
        <w:rPr>
          <w:snapToGrid w:val="0"/>
        </w:rPr>
      </w:pPr>
      <w:r>
        <w:t>__________</w:t>
      </w:r>
    </w:p>
    <w:sectPr w:rsidR="00DA7595" w:rsidRPr="009A4A6D" w:rsidSect="00DB0A6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369" w:rsidRDefault="004F7369">
      <w:r>
        <w:separator/>
      </w:r>
    </w:p>
  </w:endnote>
  <w:endnote w:type="continuationSeparator" w:id="0">
    <w:p w:rsidR="004F7369" w:rsidRDefault="004F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altName w:val="Times New Roman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822EB9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69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="00822EB9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="00822EB9" w:rsidRPr="002C7EA9">
      <w:rPr>
        <w:rStyle w:val="PageNumber"/>
      </w:rPr>
      <w:fldChar w:fldCharType="separate"/>
    </w:r>
    <w:r w:rsidR="00B22028">
      <w:rPr>
        <w:rStyle w:val="PageNumber"/>
        <w:noProof/>
      </w:rPr>
      <w:t>2</w:t>
    </w:r>
    <w:r w:rsidR="00822EB9"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="00822EB9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="00822EB9" w:rsidRPr="002C7EA9">
      <w:rPr>
        <w:rStyle w:val="PageNumber"/>
      </w:rPr>
      <w:fldChar w:fldCharType="separate"/>
    </w:r>
    <w:r w:rsidR="00B22028">
      <w:rPr>
        <w:rStyle w:val="PageNumber"/>
        <w:noProof/>
      </w:rPr>
      <w:t>2</w:t>
    </w:r>
    <w:r w:rsidR="00822EB9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Pr="007B00DD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D13B41" w:rsidRPr="007B00DD" w:rsidRDefault="00D13B41" w:rsidP="00D13B41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Pr="007B00DD" w:rsidRDefault="0097693B" w:rsidP="00762576">
          <w:pPr>
            <w:rPr>
              <w:b/>
              <w:lang w:eastAsia="ja-JP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369" w:rsidRDefault="004F7369">
      <w:r>
        <w:separator/>
      </w:r>
    </w:p>
  </w:footnote>
  <w:footnote w:type="continuationSeparator" w:id="0">
    <w:p w:rsidR="004F7369" w:rsidRDefault="004F7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Pr="00CB7A29" w:rsidRDefault="0097693B" w:rsidP="00C15633">
    <w:pPr>
      <w:pStyle w:val="Header"/>
      <w:tabs>
        <w:tab w:val="center" w:pos="4763"/>
        <w:tab w:val="left" w:pos="5820"/>
      </w:tabs>
      <w:rPr>
        <w:rFonts w:eastAsiaTheme="minorEastAsia"/>
        <w:lang w:eastAsia="ko-KR"/>
      </w:rPr>
    </w:pPr>
    <w:r>
      <w:rPr>
        <w:lang w:eastAsia="ko-KR"/>
      </w:rPr>
      <w:tab/>
    </w:r>
    <w:r w:rsidR="00C15633">
      <w:rPr>
        <w:rFonts w:hint="eastAsia"/>
        <w:lang w:eastAsia="ko-KR"/>
      </w:rPr>
      <w:t>A</w:t>
    </w:r>
    <w:r w:rsidR="008319BF">
      <w:rPr>
        <w:lang w:eastAsia="ko-KR"/>
      </w:rPr>
      <w:t>PG</w:t>
    </w:r>
    <w:r w:rsidR="00295D9B">
      <w:rPr>
        <w:lang w:eastAsia="ko-KR"/>
      </w:rPr>
      <w:t>15-2</w:t>
    </w:r>
    <w:r w:rsidR="008319BF">
      <w:rPr>
        <w:rFonts w:hint="eastAsia"/>
        <w:lang w:eastAsia="ko-KR"/>
      </w:rPr>
      <w:t>/</w:t>
    </w:r>
    <w:r w:rsidR="00CB7A29">
      <w:rPr>
        <w:rFonts w:eastAsiaTheme="minorEastAsia" w:hint="eastAsia"/>
        <w:lang w:eastAsia="ko-KR"/>
      </w:rPr>
      <w:t>OUT</w:t>
    </w:r>
    <w:r w:rsidR="00F74E9C">
      <w:rPr>
        <w:lang w:eastAsia="ko-KR"/>
      </w:rPr>
      <w:t>-</w:t>
    </w:r>
    <w:r w:rsidR="002235BD">
      <w:rPr>
        <w:rFonts w:eastAsiaTheme="minorEastAsia"/>
        <w:lang w:eastAsia="ko-KR"/>
      </w:rPr>
      <w:t>20</w:t>
    </w:r>
    <w:r w:rsidR="00DF395C">
      <w:rPr>
        <w:rFonts w:eastAsiaTheme="minorEastAsia"/>
        <w:lang w:eastAsia="ko-KR"/>
      </w:rPr>
      <w:t>(Rev.1)</w:t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4896"/>
    <w:multiLevelType w:val="hybridMultilevel"/>
    <w:tmpl w:val="FBB01678"/>
    <w:lvl w:ilvl="0" w:tplc="40C4F336">
      <w:start w:val="1"/>
      <w:numFmt w:val="bullet"/>
      <w:lvlText w:val="-"/>
      <w:lvlJc w:val="left"/>
      <w:pPr>
        <w:ind w:left="76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444E1A6E"/>
    <w:multiLevelType w:val="hybridMultilevel"/>
    <w:tmpl w:val="5E289AA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4647C67"/>
    <w:multiLevelType w:val="hybridMultilevel"/>
    <w:tmpl w:val="CC64CA70"/>
    <w:lvl w:ilvl="0" w:tplc="76B8D2E4">
      <w:start w:val="10"/>
      <w:numFmt w:val="bullet"/>
      <w:lvlText w:val="-"/>
      <w:lvlJc w:val="left"/>
      <w:pPr>
        <w:ind w:left="76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4C0371C"/>
    <w:multiLevelType w:val="hybridMultilevel"/>
    <w:tmpl w:val="ADFC468C"/>
    <w:lvl w:ilvl="0" w:tplc="ABBCEBE2">
      <w:start w:val="1"/>
      <w:numFmt w:val="bullet"/>
      <w:lvlText w:val="-"/>
      <w:lvlJc w:val="left"/>
      <w:pPr>
        <w:ind w:left="75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B62A59"/>
    <w:multiLevelType w:val="hybridMultilevel"/>
    <w:tmpl w:val="06426A24"/>
    <w:lvl w:ilvl="0" w:tplc="B9323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7DF2E9C"/>
    <w:multiLevelType w:val="hybridMultilevel"/>
    <w:tmpl w:val="ADFC2B2A"/>
    <w:lvl w:ilvl="0" w:tplc="ABBCEBE2">
      <w:start w:val="1"/>
      <w:numFmt w:val="bullet"/>
      <w:lvlText w:val="-"/>
      <w:lvlJc w:val="left"/>
      <w:pPr>
        <w:ind w:left="75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3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11"/>
  </w:num>
  <w:num w:numId="11">
    <w:abstractNumId w:val="0"/>
  </w:num>
  <w:num w:numId="12">
    <w:abstractNumId w:val="1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312A1"/>
    <w:rsid w:val="0003595B"/>
    <w:rsid w:val="00062026"/>
    <w:rsid w:val="000713CF"/>
    <w:rsid w:val="000756AE"/>
    <w:rsid w:val="000A5418"/>
    <w:rsid w:val="000C5A79"/>
    <w:rsid w:val="000F517C"/>
    <w:rsid w:val="000F5540"/>
    <w:rsid w:val="001539DD"/>
    <w:rsid w:val="0019621F"/>
    <w:rsid w:val="00196568"/>
    <w:rsid w:val="001A2CF1"/>
    <w:rsid w:val="001A2F16"/>
    <w:rsid w:val="001B18C2"/>
    <w:rsid w:val="001C474B"/>
    <w:rsid w:val="001C610F"/>
    <w:rsid w:val="001D5D7E"/>
    <w:rsid w:val="001F0912"/>
    <w:rsid w:val="00206B2A"/>
    <w:rsid w:val="002235BD"/>
    <w:rsid w:val="00254A1B"/>
    <w:rsid w:val="0028454D"/>
    <w:rsid w:val="00290ABD"/>
    <w:rsid w:val="00291C9E"/>
    <w:rsid w:val="002926D4"/>
    <w:rsid w:val="00295D9B"/>
    <w:rsid w:val="002A14B9"/>
    <w:rsid w:val="002C07DA"/>
    <w:rsid w:val="002C7EA9"/>
    <w:rsid w:val="002D2DEA"/>
    <w:rsid w:val="002E455C"/>
    <w:rsid w:val="00342F20"/>
    <w:rsid w:val="00350B95"/>
    <w:rsid w:val="003809C7"/>
    <w:rsid w:val="003A40AC"/>
    <w:rsid w:val="003B6263"/>
    <w:rsid w:val="003C64A7"/>
    <w:rsid w:val="003D3FDA"/>
    <w:rsid w:val="00420822"/>
    <w:rsid w:val="004456CA"/>
    <w:rsid w:val="0045458F"/>
    <w:rsid w:val="004633B4"/>
    <w:rsid w:val="00473941"/>
    <w:rsid w:val="00491C57"/>
    <w:rsid w:val="00493140"/>
    <w:rsid w:val="004B3553"/>
    <w:rsid w:val="004F7369"/>
    <w:rsid w:val="00530E8C"/>
    <w:rsid w:val="00532D8B"/>
    <w:rsid w:val="005410DF"/>
    <w:rsid w:val="00545933"/>
    <w:rsid w:val="00557544"/>
    <w:rsid w:val="00572E9C"/>
    <w:rsid w:val="00587060"/>
    <w:rsid w:val="00587875"/>
    <w:rsid w:val="005D23EF"/>
    <w:rsid w:val="00607E2B"/>
    <w:rsid w:val="006120F0"/>
    <w:rsid w:val="0061217A"/>
    <w:rsid w:val="00623CE1"/>
    <w:rsid w:val="00624451"/>
    <w:rsid w:val="0063062B"/>
    <w:rsid w:val="00667229"/>
    <w:rsid w:val="00675A93"/>
    <w:rsid w:val="00682BE5"/>
    <w:rsid w:val="00690FED"/>
    <w:rsid w:val="006939A5"/>
    <w:rsid w:val="006A02CF"/>
    <w:rsid w:val="006A4000"/>
    <w:rsid w:val="006E6DB4"/>
    <w:rsid w:val="00712451"/>
    <w:rsid w:val="00712F45"/>
    <w:rsid w:val="00732F08"/>
    <w:rsid w:val="0074190C"/>
    <w:rsid w:val="007452FA"/>
    <w:rsid w:val="0075427E"/>
    <w:rsid w:val="00762576"/>
    <w:rsid w:val="0078225D"/>
    <w:rsid w:val="00782D11"/>
    <w:rsid w:val="00791060"/>
    <w:rsid w:val="00793667"/>
    <w:rsid w:val="007A507E"/>
    <w:rsid w:val="007B00DD"/>
    <w:rsid w:val="007B479B"/>
    <w:rsid w:val="007B5626"/>
    <w:rsid w:val="007E34EB"/>
    <w:rsid w:val="0080570B"/>
    <w:rsid w:val="008121E0"/>
    <w:rsid w:val="008148E1"/>
    <w:rsid w:val="00822EB9"/>
    <w:rsid w:val="00823E22"/>
    <w:rsid w:val="008319BF"/>
    <w:rsid w:val="008B4EEB"/>
    <w:rsid w:val="008C7E78"/>
    <w:rsid w:val="008D0E09"/>
    <w:rsid w:val="0097088A"/>
    <w:rsid w:val="009744A9"/>
    <w:rsid w:val="0097693B"/>
    <w:rsid w:val="00986AAE"/>
    <w:rsid w:val="00993355"/>
    <w:rsid w:val="009A4A6D"/>
    <w:rsid w:val="009E0BA0"/>
    <w:rsid w:val="009E248A"/>
    <w:rsid w:val="00A13265"/>
    <w:rsid w:val="00A61B0C"/>
    <w:rsid w:val="00A643D6"/>
    <w:rsid w:val="00A71136"/>
    <w:rsid w:val="00AA474C"/>
    <w:rsid w:val="00AB4C6A"/>
    <w:rsid w:val="00AD7E5F"/>
    <w:rsid w:val="00B01AA1"/>
    <w:rsid w:val="00B22028"/>
    <w:rsid w:val="00B30C81"/>
    <w:rsid w:val="00B4793B"/>
    <w:rsid w:val="00B9021F"/>
    <w:rsid w:val="00BE0821"/>
    <w:rsid w:val="00BF1F70"/>
    <w:rsid w:val="00C05F40"/>
    <w:rsid w:val="00C12AA9"/>
    <w:rsid w:val="00C15633"/>
    <w:rsid w:val="00C15799"/>
    <w:rsid w:val="00C214D2"/>
    <w:rsid w:val="00C357AD"/>
    <w:rsid w:val="00C6069C"/>
    <w:rsid w:val="00C75BBF"/>
    <w:rsid w:val="00C94B02"/>
    <w:rsid w:val="00CB7A29"/>
    <w:rsid w:val="00CD5431"/>
    <w:rsid w:val="00CF2491"/>
    <w:rsid w:val="00D1252E"/>
    <w:rsid w:val="00D13B41"/>
    <w:rsid w:val="00D30E0B"/>
    <w:rsid w:val="00D36655"/>
    <w:rsid w:val="00D43D01"/>
    <w:rsid w:val="00D50469"/>
    <w:rsid w:val="00D53F63"/>
    <w:rsid w:val="00D57772"/>
    <w:rsid w:val="00D616A3"/>
    <w:rsid w:val="00D75A4D"/>
    <w:rsid w:val="00D8478B"/>
    <w:rsid w:val="00D86151"/>
    <w:rsid w:val="00D86309"/>
    <w:rsid w:val="00DA7595"/>
    <w:rsid w:val="00DB0A68"/>
    <w:rsid w:val="00DC43A3"/>
    <w:rsid w:val="00DD7C09"/>
    <w:rsid w:val="00DF395C"/>
    <w:rsid w:val="00E0124F"/>
    <w:rsid w:val="00E060EC"/>
    <w:rsid w:val="00E53B66"/>
    <w:rsid w:val="00E674D3"/>
    <w:rsid w:val="00E70FD0"/>
    <w:rsid w:val="00E94EFC"/>
    <w:rsid w:val="00F04992"/>
    <w:rsid w:val="00F061F2"/>
    <w:rsid w:val="00F131B0"/>
    <w:rsid w:val="00F26356"/>
    <w:rsid w:val="00F65140"/>
    <w:rsid w:val="00F74E9C"/>
    <w:rsid w:val="00F84067"/>
    <w:rsid w:val="00FB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link w:val="Heading1Char"/>
    <w:uiPriority w:val="99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basedOn w:val="DefaultParagraphFont"/>
    <w:link w:val="Heading1"/>
    <w:uiPriority w:val="99"/>
    <w:rsid w:val="003A40AC"/>
    <w:rPr>
      <w:rFonts w:eastAsia="BatangChe"/>
      <w:b/>
      <w:bCs/>
      <w:sz w:val="24"/>
      <w:szCs w:val="24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A40AC"/>
    <w:pPr>
      <w:ind w:firstLineChars="200" w:firstLine="420"/>
    </w:pPr>
  </w:style>
  <w:style w:type="table" w:styleId="TableGrid">
    <w:name w:val="Table Grid"/>
    <w:basedOn w:val="TableNormal"/>
    <w:uiPriority w:val="59"/>
    <w:rsid w:val="003A40AC"/>
    <w:rPr>
      <w:rFonts w:ascii="Calibri" w:eastAsia="Times New Roman" w:hAnsi="Calibri" w:cs="Arial"/>
      <w:kern w:val="2"/>
      <w:sz w:val="21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">
    <w:name w:val="MS바탕글"/>
    <w:basedOn w:val="Normal"/>
    <w:rsid w:val="003A40AC"/>
    <w:pPr>
      <w:shd w:val="clear" w:color="auto" w:fill="FFFFFF"/>
      <w:autoSpaceDE w:val="0"/>
      <w:autoSpaceDN w:val="0"/>
      <w:textAlignment w:val="baseline"/>
    </w:pPr>
    <w:rPr>
      <w:rFonts w:ascii="Gulim" w:eastAsia="Gulim" w:hAnsi="Gulim" w:cs="Gulim"/>
      <w:color w:val="000000"/>
      <w:lang w:eastAsia="ko-KR"/>
    </w:rPr>
  </w:style>
  <w:style w:type="paragraph" w:styleId="BodyText">
    <w:name w:val="Body Text"/>
    <w:basedOn w:val="Normal"/>
    <w:link w:val="BodyTextChar"/>
    <w:rsid w:val="003A40AC"/>
    <w:rPr>
      <w:rFonts w:ascii="Arial" w:hAnsi="Arial"/>
      <w:sz w:val="22"/>
      <w:szCs w:val="20"/>
      <w:lang w:val="en-GB" w:eastAsia="ko-KR"/>
    </w:rPr>
  </w:style>
  <w:style w:type="character" w:customStyle="1" w:styleId="BodyTextChar">
    <w:name w:val="Body Text Char"/>
    <w:basedOn w:val="DefaultParagraphFont"/>
    <w:link w:val="BodyText"/>
    <w:rsid w:val="003A40AC"/>
    <w:rPr>
      <w:rFonts w:ascii="Arial" w:eastAsia="BatangChe" w:hAnsi="Arial"/>
      <w:sz w:val="22"/>
      <w:lang w:val="en-GB" w:eastAsia="ko-KR"/>
    </w:rPr>
  </w:style>
  <w:style w:type="character" w:styleId="FootnoteReference">
    <w:name w:val="footnote reference"/>
    <w:aliases w:val="Appel note de bas de p,Footnote Reference/,Footnote symbol,Style 12,(NECG) Footnote Reference,Style 124"/>
    <w:basedOn w:val="DefaultParagraphFont"/>
    <w:rsid w:val="003A40AC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ootnote te"/>
    <w:basedOn w:val="Normal"/>
    <w:link w:val="FootnoteTextChar"/>
    <w:rsid w:val="003A40AC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jc w:val="both"/>
      <w:textAlignment w:val="baseline"/>
    </w:pPr>
    <w:rPr>
      <w:rFonts w:eastAsia="Times New Roman"/>
      <w:sz w:val="22"/>
      <w:szCs w:val="20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ootnote te Char"/>
    <w:basedOn w:val="DefaultParagraphFont"/>
    <w:link w:val="FootnoteText"/>
    <w:rsid w:val="003A40AC"/>
    <w:rPr>
      <w:rFonts w:eastAsia="Times New Roman"/>
      <w:sz w:val="22"/>
      <w:lang w:val="en-GB"/>
    </w:rPr>
  </w:style>
  <w:style w:type="paragraph" w:styleId="BodyText2">
    <w:name w:val="Body Text 2"/>
    <w:basedOn w:val="Normal"/>
    <w:link w:val="BodyText2Char"/>
    <w:rsid w:val="003A40AC"/>
    <w:pPr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3A40AC"/>
    <w:rPr>
      <w:rFonts w:eastAsia="Times New Roman"/>
      <w:sz w:val="24"/>
      <w:szCs w:val="24"/>
    </w:rPr>
  </w:style>
  <w:style w:type="character" w:styleId="Hyperlink">
    <w:name w:val="Hyperlink"/>
    <w:basedOn w:val="DefaultParagraphFont"/>
    <w:rsid w:val="003A40AC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A40AC"/>
    <w:rPr>
      <w:rFonts w:eastAsia="BatangChe"/>
      <w:sz w:val="24"/>
      <w:szCs w:val="24"/>
    </w:rPr>
  </w:style>
  <w:style w:type="paragraph" w:customStyle="1" w:styleId="BULLET">
    <w:name w:val="BULLET"/>
    <w:basedOn w:val="Normal"/>
    <w:autoRedefine/>
    <w:rsid w:val="003A40AC"/>
    <w:pPr>
      <w:tabs>
        <w:tab w:val="left" w:pos="720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</w:pPr>
    <w:rPr>
      <w:rFonts w:eastAsia="Times New Roman"/>
      <w:lang w:val="en-GB"/>
    </w:rPr>
  </w:style>
  <w:style w:type="paragraph" w:styleId="BalloonText">
    <w:name w:val="Balloon Text"/>
    <w:basedOn w:val="Normal"/>
    <w:link w:val="BalloonTextChar"/>
    <w:rsid w:val="00FB3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B388B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link w:val="Heading1Char"/>
    <w:uiPriority w:val="99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basedOn w:val="DefaultParagraphFont"/>
    <w:link w:val="Heading1"/>
    <w:uiPriority w:val="99"/>
    <w:rsid w:val="003A40AC"/>
    <w:rPr>
      <w:rFonts w:eastAsia="BatangChe"/>
      <w:b/>
      <w:bCs/>
      <w:sz w:val="24"/>
      <w:szCs w:val="24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A40AC"/>
    <w:pPr>
      <w:ind w:firstLineChars="200" w:firstLine="420"/>
    </w:pPr>
  </w:style>
  <w:style w:type="table" w:styleId="TableGrid">
    <w:name w:val="Table Grid"/>
    <w:basedOn w:val="TableNormal"/>
    <w:uiPriority w:val="59"/>
    <w:rsid w:val="003A40AC"/>
    <w:rPr>
      <w:rFonts w:ascii="Calibri" w:eastAsia="Times New Roman" w:hAnsi="Calibri" w:cs="Arial"/>
      <w:kern w:val="2"/>
      <w:sz w:val="21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">
    <w:name w:val="MS바탕글"/>
    <w:basedOn w:val="Normal"/>
    <w:rsid w:val="003A40AC"/>
    <w:pPr>
      <w:shd w:val="clear" w:color="auto" w:fill="FFFFFF"/>
      <w:autoSpaceDE w:val="0"/>
      <w:autoSpaceDN w:val="0"/>
      <w:textAlignment w:val="baseline"/>
    </w:pPr>
    <w:rPr>
      <w:rFonts w:ascii="Gulim" w:eastAsia="Gulim" w:hAnsi="Gulim" w:cs="Gulim"/>
      <w:color w:val="000000"/>
      <w:lang w:eastAsia="ko-KR"/>
    </w:rPr>
  </w:style>
  <w:style w:type="paragraph" w:styleId="BodyText">
    <w:name w:val="Body Text"/>
    <w:basedOn w:val="Normal"/>
    <w:link w:val="BodyTextChar"/>
    <w:rsid w:val="003A40AC"/>
    <w:rPr>
      <w:rFonts w:ascii="Arial" w:hAnsi="Arial"/>
      <w:sz w:val="22"/>
      <w:szCs w:val="20"/>
      <w:lang w:val="en-GB" w:eastAsia="ko-KR"/>
    </w:rPr>
  </w:style>
  <w:style w:type="character" w:customStyle="1" w:styleId="BodyTextChar">
    <w:name w:val="Body Text Char"/>
    <w:basedOn w:val="DefaultParagraphFont"/>
    <w:link w:val="BodyText"/>
    <w:rsid w:val="003A40AC"/>
    <w:rPr>
      <w:rFonts w:ascii="Arial" w:eastAsia="BatangChe" w:hAnsi="Arial"/>
      <w:sz w:val="22"/>
      <w:lang w:val="en-GB" w:eastAsia="ko-KR"/>
    </w:rPr>
  </w:style>
  <w:style w:type="character" w:styleId="FootnoteReference">
    <w:name w:val="footnote reference"/>
    <w:aliases w:val="Appel note de bas de p,Footnote Reference/,Footnote symbol,Style 12,(NECG) Footnote Reference,Style 124"/>
    <w:basedOn w:val="DefaultParagraphFont"/>
    <w:rsid w:val="003A40AC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ootnote te"/>
    <w:basedOn w:val="Normal"/>
    <w:link w:val="FootnoteTextChar"/>
    <w:rsid w:val="003A40AC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jc w:val="both"/>
      <w:textAlignment w:val="baseline"/>
    </w:pPr>
    <w:rPr>
      <w:rFonts w:eastAsia="Times New Roman"/>
      <w:sz w:val="22"/>
      <w:szCs w:val="20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ootnote te Char"/>
    <w:basedOn w:val="DefaultParagraphFont"/>
    <w:link w:val="FootnoteText"/>
    <w:rsid w:val="003A40AC"/>
    <w:rPr>
      <w:rFonts w:eastAsia="Times New Roman"/>
      <w:sz w:val="22"/>
      <w:lang w:val="en-GB"/>
    </w:rPr>
  </w:style>
  <w:style w:type="paragraph" w:styleId="BodyText2">
    <w:name w:val="Body Text 2"/>
    <w:basedOn w:val="Normal"/>
    <w:link w:val="BodyText2Char"/>
    <w:rsid w:val="003A40AC"/>
    <w:pPr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3A40AC"/>
    <w:rPr>
      <w:rFonts w:eastAsia="Times New Roman"/>
      <w:sz w:val="24"/>
      <w:szCs w:val="24"/>
    </w:rPr>
  </w:style>
  <w:style w:type="character" w:styleId="Hyperlink">
    <w:name w:val="Hyperlink"/>
    <w:basedOn w:val="DefaultParagraphFont"/>
    <w:rsid w:val="003A40AC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A40AC"/>
    <w:rPr>
      <w:rFonts w:eastAsia="BatangChe"/>
      <w:sz w:val="24"/>
      <w:szCs w:val="24"/>
    </w:rPr>
  </w:style>
  <w:style w:type="paragraph" w:customStyle="1" w:styleId="BULLET">
    <w:name w:val="BULLET"/>
    <w:basedOn w:val="Normal"/>
    <w:autoRedefine/>
    <w:rsid w:val="003A40AC"/>
    <w:pPr>
      <w:tabs>
        <w:tab w:val="left" w:pos="720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</w:pPr>
    <w:rPr>
      <w:rFonts w:eastAsia="Times New Roman"/>
      <w:lang w:val="en-GB"/>
    </w:rPr>
  </w:style>
  <w:style w:type="paragraph" w:styleId="BalloonText">
    <w:name w:val="Balloon Text"/>
    <w:basedOn w:val="Normal"/>
    <w:link w:val="BalloonTextChar"/>
    <w:rsid w:val="00FB3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B388B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APT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2</cp:revision>
  <cp:lastPrinted>2004-07-28T02:14:00Z</cp:lastPrinted>
  <dcterms:created xsi:type="dcterms:W3CDTF">2013-07-16T06:27:00Z</dcterms:created>
  <dcterms:modified xsi:type="dcterms:W3CDTF">2013-07-16T06:27:00Z</dcterms:modified>
</cp:coreProperties>
</file>