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1906FB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60730" cy="665480"/>
                  <wp:effectExtent l="0" t="0" r="1270" b="127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spacing w:line="0" w:lineRule="atLeast"/>
            </w:pPr>
            <w:r>
              <w:rPr>
                <w:b/>
              </w:rPr>
              <w:t>APT Conference Preparatory  Group for WRC-1</w:t>
            </w:r>
            <w:r w:rsidR="00AA294A">
              <w:rPr>
                <w:b/>
              </w:rPr>
              <w:t>5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392151">
            <w:pPr>
              <w:rPr>
                <w:b/>
                <w:bCs/>
                <w:lang w:val="fr-FR" w:eastAsia="ko-K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392151">
            <w:pPr>
              <w:rPr>
                <w:b/>
              </w:rPr>
            </w:pPr>
          </w:p>
        </w:tc>
      </w:tr>
    </w:tbl>
    <w:p w:rsidR="00DA7595" w:rsidRDefault="00AA294A" w:rsidP="00DA7595">
      <w:pPr>
        <w:rPr>
          <w:lang w:eastAsia="ko-KR"/>
        </w:rPr>
      </w:pPr>
      <w:r>
        <w:rPr>
          <w:lang w:eastAsia="ko-KR"/>
        </w:rPr>
        <w:t>Source: APG15-2/OUT-22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747790" w:rsidRPr="00607E2B" w:rsidRDefault="00747790" w:rsidP="00747790">
      <w:pPr>
        <w:jc w:val="center"/>
        <w:rPr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 xml:space="preserve">preliminary views on WRC-15 agenda item </w:t>
      </w:r>
      <w:r>
        <w:rPr>
          <w:rFonts w:hint="eastAsia"/>
          <w:b/>
          <w:bCs/>
          <w:caps/>
          <w:sz w:val="28"/>
          <w:szCs w:val="28"/>
          <w:lang w:eastAsia="ko-KR"/>
        </w:rPr>
        <w:t>1.4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8319BF" w:rsidRDefault="000A5418" w:rsidP="00C357AD">
      <w:pPr>
        <w:jc w:val="both"/>
      </w:pPr>
      <w:r>
        <w:rPr>
          <w:b/>
        </w:rPr>
        <w:t xml:space="preserve">Agenda Item </w:t>
      </w:r>
      <w:r w:rsidR="00922A07">
        <w:rPr>
          <w:b/>
        </w:rPr>
        <w:t>1</w:t>
      </w:r>
      <w:r>
        <w:rPr>
          <w:b/>
        </w:rPr>
        <w:t>.</w:t>
      </w:r>
      <w:r w:rsidR="00922A07">
        <w:rPr>
          <w:b/>
        </w:rPr>
        <w:t>4</w:t>
      </w:r>
      <w:r>
        <w:rPr>
          <w:b/>
        </w:rPr>
        <w:t xml:space="preserve">: </w:t>
      </w:r>
    </w:p>
    <w:p w:rsidR="000A5418" w:rsidRDefault="009F0E5C" w:rsidP="00C357AD">
      <w:pPr>
        <w:jc w:val="both"/>
      </w:pPr>
      <w:proofErr w:type="gramStart"/>
      <w:r w:rsidRPr="009F0E5C">
        <w:rPr>
          <w:i/>
        </w:rPr>
        <w:t>to</w:t>
      </w:r>
      <w:proofErr w:type="gramEnd"/>
      <w:r w:rsidRPr="009F0E5C">
        <w:rPr>
          <w:i/>
        </w:rPr>
        <w:t xml:space="preserve"> consider possible new allocation to the amateur service on a secondary basis within the band 5 250-5 450 kHz in accordance with Resolution 649 (WRC-12);</w:t>
      </w:r>
    </w:p>
    <w:p w:rsidR="000A5418" w:rsidRDefault="000A5418" w:rsidP="00C357AD">
      <w:pPr>
        <w:jc w:val="both"/>
      </w:pPr>
    </w:p>
    <w:p w:rsidR="00AA294A" w:rsidRDefault="00AA294A" w:rsidP="00C357AD">
      <w:pPr>
        <w:jc w:val="both"/>
        <w:rPr>
          <w:b/>
        </w:rPr>
      </w:pPr>
    </w:p>
    <w:p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:rsidR="00E73CC1" w:rsidRDefault="00AB7B51" w:rsidP="00AA294A">
      <w:pPr>
        <w:spacing w:beforeLines="50" w:before="120" w:afterLines="50" w:after="120"/>
        <w:jc w:val="both"/>
      </w:pPr>
      <w:r>
        <w:t xml:space="preserve">APT </w:t>
      </w:r>
      <w:r w:rsidR="00FD0288">
        <w:t xml:space="preserve">Members </w:t>
      </w:r>
      <w:r>
        <w:t>support relevant ITU-R studies on this issue.</w:t>
      </w:r>
    </w:p>
    <w:p w:rsidR="00E73CC1" w:rsidRDefault="00A108BE" w:rsidP="00AA294A">
      <w:pPr>
        <w:spacing w:beforeLines="50" w:before="120" w:afterLines="50" w:after="120"/>
        <w:jc w:val="both"/>
      </w:pPr>
      <w:r>
        <w:t xml:space="preserve">APT </w:t>
      </w:r>
      <w:r w:rsidR="00FD0288">
        <w:t xml:space="preserve">Members </w:t>
      </w:r>
      <w:r>
        <w:t>are of the view that the protection of the services to which the band is currently allocated and the</w:t>
      </w:r>
      <w:r w:rsidR="00FD0288">
        <w:t>ir</w:t>
      </w:r>
      <w:r>
        <w:t xml:space="preserve"> future development should be ensured, through appropriate technical</w:t>
      </w:r>
      <w:r w:rsidR="00FD0288">
        <w:t>,</w:t>
      </w:r>
      <w:r>
        <w:t xml:space="preserve"> operational</w:t>
      </w:r>
      <w:r w:rsidR="00FD0288">
        <w:t xml:space="preserve"> and regulatory</w:t>
      </w:r>
      <w:r>
        <w:t xml:space="preserve"> measures, </w:t>
      </w:r>
      <w:r w:rsidR="00FD0288">
        <w:t xml:space="preserve">where </w:t>
      </w:r>
      <w:r>
        <w:t xml:space="preserve">required. No constraints should </w:t>
      </w:r>
      <w:r w:rsidR="00FD0288">
        <w:t xml:space="preserve">also </w:t>
      </w:r>
      <w:r>
        <w:t xml:space="preserve">be imposed upon existing services </w:t>
      </w:r>
      <w:r w:rsidR="00FD0288">
        <w:t xml:space="preserve">and their future development </w:t>
      </w:r>
      <w:r>
        <w:t xml:space="preserve">in the frequency band </w:t>
      </w:r>
      <w:r w:rsidRPr="00BB2115">
        <w:t>5 250-5 450 kHz</w:t>
      </w:r>
      <w:r>
        <w:t>.</w:t>
      </w:r>
    </w:p>
    <w:p w:rsidR="00A108BE" w:rsidRDefault="00A108BE" w:rsidP="00C357AD">
      <w:pPr>
        <w:jc w:val="both"/>
        <w:rPr>
          <w:b/>
        </w:rPr>
      </w:pPr>
    </w:p>
    <w:p w:rsidR="006A02CF" w:rsidRDefault="006A02CF" w:rsidP="00C357AD">
      <w:pPr>
        <w:jc w:val="both"/>
        <w:rPr>
          <w:b/>
        </w:rPr>
      </w:pPr>
    </w:p>
    <w:p w:rsidR="00D36655" w:rsidRDefault="006A02CF" w:rsidP="00C357AD">
      <w:pPr>
        <w:jc w:val="both"/>
        <w:rPr>
          <w:b/>
        </w:rPr>
      </w:pPr>
      <w:r>
        <w:rPr>
          <w:b/>
        </w:rPr>
        <w:t>Other Views:</w:t>
      </w:r>
    </w:p>
    <w:p w:rsidR="00D36655" w:rsidRDefault="00D36655" w:rsidP="00C357AD">
      <w:pPr>
        <w:jc w:val="both"/>
        <w:rPr>
          <w:b/>
        </w:rPr>
      </w:pPr>
    </w:p>
    <w:p w:rsidR="008A57BA" w:rsidRPr="008A57BA" w:rsidRDefault="008A57BA" w:rsidP="00C357AD">
      <w:pPr>
        <w:jc w:val="both"/>
      </w:pPr>
      <w:r w:rsidRPr="008A57BA">
        <w:t>None</w:t>
      </w:r>
    </w:p>
    <w:p w:rsidR="00D36655" w:rsidRDefault="00D36655" w:rsidP="00C357AD">
      <w:pPr>
        <w:jc w:val="both"/>
        <w:rPr>
          <w:b/>
        </w:rPr>
      </w:pPr>
    </w:p>
    <w:p w:rsidR="006A02CF" w:rsidRPr="000A5418" w:rsidRDefault="00D36655" w:rsidP="00C357AD">
      <w:pPr>
        <w:jc w:val="both"/>
        <w:rPr>
          <w:b/>
        </w:rPr>
      </w:pPr>
      <w:r>
        <w:rPr>
          <w:b/>
        </w:rPr>
        <w:t>Issues for Consideration at APG</w:t>
      </w:r>
      <w:r w:rsidR="007B00DD">
        <w:rPr>
          <w:b/>
        </w:rPr>
        <w:t>15-3</w:t>
      </w:r>
      <w:r>
        <w:rPr>
          <w:b/>
        </w:rPr>
        <w:t xml:space="preserve"> Meeting:</w:t>
      </w:r>
      <w:r w:rsidR="006A02CF">
        <w:rPr>
          <w:b/>
        </w:rPr>
        <w:t xml:space="preserve">  </w:t>
      </w:r>
    </w:p>
    <w:p w:rsidR="00E73CC1" w:rsidRDefault="000854C4" w:rsidP="00AA294A">
      <w:pPr>
        <w:spacing w:beforeLines="50" w:before="120" w:afterLines="50" w:after="120"/>
        <w:jc w:val="both"/>
      </w:pPr>
      <w:r w:rsidRPr="007B304B">
        <w:t xml:space="preserve">It is </w:t>
      </w:r>
      <w:r w:rsidR="00AA294A" w:rsidRPr="007B304B">
        <w:t>recognized</w:t>
      </w:r>
      <w:bookmarkStart w:id="0" w:name="_GoBack"/>
      <w:bookmarkEnd w:id="0"/>
      <w:r w:rsidRPr="007B304B">
        <w:t xml:space="preserve"> that more work is required to determine the optimum allocation(s) and to ensure that appropriate protection </w:t>
      </w:r>
      <w:r w:rsidR="00371C8A">
        <w:t>is given to</w:t>
      </w:r>
      <w:r w:rsidRPr="007B304B">
        <w:t xml:space="preserve"> the existing services.</w:t>
      </w:r>
    </w:p>
    <w:p w:rsidR="00387B20" w:rsidRDefault="00387B20" w:rsidP="00741B2A">
      <w:pPr>
        <w:spacing w:beforeLines="50" w:before="120"/>
        <w:jc w:val="both"/>
      </w:pPr>
      <w:r w:rsidRPr="003055E9">
        <w:t>In view of the dif</w:t>
      </w:r>
      <w:r>
        <w:t>ficulties of th</w:t>
      </w:r>
      <w:r>
        <w:rPr>
          <w:rFonts w:eastAsia="SimSun" w:hint="eastAsia"/>
          <w:lang w:eastAsia="zh-CN"/>
        </w:rPr>
        <w:t>e</w:t>
      </w:r>
      <w:r w:rsidRPr="003055E9">
        <w:t xml:space="preserve"> issue, further studies are required. A</w:t>
      </w:r>
      <w:r>
        <w:rPr>
          <w:rFonts w:eastAsia="SimSun" w:hint="eastAsia"/>
          <w:lang w:eastAsia="zh-CN"/>
        </w:rPr>
        <w:t>PT members</w:t>
      </w:r>
      <w:r w:rsidRPr="003055E9">
        <w:t xml:space="preserve"> are therefore invited to carry out necessary studies in this regard and submit their contributions for </w:t>
      </w:r>
      <w:r>
        <w:rPr>
          <w:rFonts w:eastAsia="SimSun" w:hint="eastAsia"/>
          <w:lang w:eastAsia="zh-CN"/>
        </w:rPr>
        <w:t xml:space="preserve">further </w:t>
      </w:r>
      <w:r w:rsidRPr="003055E9">
        <w:t xml:space="preserve">consideration </w:t>
      </w:r>
      <w:r>
        <w:rPr>
          <w:rFonts w:eastAsia="SimSun" w:hint="eastAsia"/>
          <w:lang w:eastAsia="zh-CN"/>
        </w:rPr>
        <w:t xml:space="preserve">in future </w:t>
      </w:r>
      <w:r>
        <w:rPr>
          <w:rFonts w:eastAsia="SimSun"/>
          <w:lang w:eastAsia="zh-CN"/>
        </w:rPr>
        <w:t xml:space="preserve">APG15 </w:t>
      </w:r>
      <w:r>
        <w:rPr>
          <w:rFonts w:eastAsia="SimSun" w:hint="eastAsia"/>
          <w:lang w:eastAsia="zh-CN"/>
        </w:rPr>
        <w:t>meetings</w:t>
      </w:r>
      <w:r w:rsidRPr="003055E9">
        <w:t>.</w:t>
      </w:r>
    </w:p>
    <w:p w:rsidR="00C357AD" w:rsidRDefault="00C357AD" w:rsidP="00C357AD">
      <w:pPr>
        <w:jc w:val="both"/>
      </w:pPr>
    </w:p>
    <w:p w:rsidR="000A5418" w:rsidRDefault="000A5418" w:rsidP="00C357AD">
      <w:pPr>
        <w:jc w:val="both"/>
      </w:pPr>
    </w:p>
    <w:p w:rsidR="00D1252E" w:rsidRDefault="00D1252E" w:rsidP="009A4A6D">
      <w:pPr>
        <w:jc w:val="center"/>
      </w:pPr>
    </w:p>
    <w:p w:rsidR="00D36655" w:rsidRDefault="00D36655" w:rsidP="009A4A6D">
      <w:pPr>
        <w:jc w:val="center"/>
      </w:pPr>
    </w:p>
    <w:p w:rsidR="00D36655" w:rsidRDefault="00D36655" w:rsidP="009A4A6D">
      <w:pPr>
        <w:jc w:val="center"/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67" w:rsidRDefault="00451667">
      <w:r>
        <w:separator/>
      </w:r>
    </w:p>
  </w:endnote>
  <w:endnote w:type="continuationSeparator" w:id="0">
    <w:p w:rsidR="00451667" w:rsidRDefault="0045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1C7E3F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1C7E3F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1C7E3F" w:rsidRPr="002C7EA9">
      <w:rPr>
        <w:rStyle w:val="PageNumber"/>
      </w:rPr>
      <w:fldChar w:fldCharType="separate"/>
    </w:r>
    <w:r w:rsidR="00AA294A">
      <w:rPr>
        <w:rStyle w:val="PageNumber"/>
        <w:noProof/>
      </w:rPr>
      <w:t>2</w:t>
    </w:r>
    <w:r w:rsidR="001C7E3F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1C7E3F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1C7E3F" w:rsidRPr="002C7EA9">
      <w:rPr>
        <w:rStyle w:val="PageNumber"/>
      </w:rPr>
      <w:fldChar w:fldCharType="separate"/>
    </w:r>
    <w:r w:rsidR="00AA294A">
      <w:rPr>
        <w:rStyle w:val="PageNumber"/>
        <w:noProof/>
      </w:rPr>
      <w:t>3</w:t>
    </w:r>
    <w:r w:rsidR="001C7E3F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Pr="007B00DD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D13B41" w:rsidRPr="007B00DD" w:rsidRDefault="00D13B41" w:rsidP="00D13B41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7B00DD" w:rsidRDefault="0097693B" w:rsidP="00741B2A">
          <w:pPr>
            <w:rPr>
              <w:b/>
              <w:lang w:eastAsia="ko-KR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67" w:rsidRDefault="00451667">
      <w:r>
        <w:separator/>
      </w:r>
    </w:p>
  </w:footnote>
  <w:footnote w:type="continuationSeparator" w:id="0">
    <w:p w:rsidR="00451667" w:rsidRDefault="00451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 w:rsidR="00C15633">
      <w:rPr>
        <w:rFonts w:hint="eastAsia"/>
        <w:lang w:eastAsia="ko-KR"/>
      </w:rPr>
      <w:t>A</w:t>
    </w:r>
    <w:r w:rsidR="008319BF">
      <w:rPr>
        <w:lang w:eastAsia="ko-KR"/>
      </w:rPr>
      <w:t>PG</w:t>
    </w:r>
    <w:r w:rsidR="00295D9B">
      <w:rPr>
        <w:lang w:eastAsia="ko-KR"/>
      </w:rPr>
      <w:t>15-2</w:t>
    </w:r>
    <w:r w:rsidR="008319BF">
      <w:rPr>
        <w:rFonts w:hint="eastAsia"/>
        <w:lang w:eastAsia="ko-KR"/>
      </w:rPr>
      <w:t>/</w:t>
    </w:r>
    <w:r w:rsidR="001A4F89">
      <w:rPr>
        <w:rFonts w:hint="eastAsia"/>
        <w:lang w:eastAsia="ko-KR"/>
      </w:rPr>
      <w:t>OUT</w:t>
    </w:r>
    <w:r w:rsidR="00B2658D">
      <w:rPr>
        <w:lang w:eastAsia="ko-KR"/>
      </w:rPr>
      <w:t>-22</w:t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5193448A"/>
    <w:multiLevelType w:val="hybridMultilevel"/>
    <w:tmpl w:val="8834C518"/>
    <w:lvl w:ilvl="0" w:tplc="7FBCAC9C"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744C513C"/>
    <w:multiLevelType w:val="hybridMultilevel"/>
    <w:tmpl w:val="4A1A3E26"/>
    <w:lvl w:ilvl="0" w:tplc="B6DC905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11681526">
      <w:start w:val="1"/>
      <w:numFmt w:val="bullet"/>
      <w:lvlText w:val="-"/>
      <w:lvlJc w:val="left"/>
      <w:pPr>
        <w:ind w:left="1470" w:hanging="420"/>
      </w:pPr>
      <w:rPr>
        <w:rFonts w:ascii="MS Gothic" w:eastAsia="MS Gothic" w:hAnsi="MS Gothic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오충근">
    <w15:presenceInfo w15:providerId="Windows Live" w15:userId="146c2d8e5ca69a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95B"/>
    <w:rsid w:val="000713CF"/>
    <w:rsid w:val="000756AE"/>
    <w:rsid w:val="000854C4"/>
    <w:rsid w:val="000A5418"/>
    <w:rsid w:val="000F517C"/>
    <w:rsid w:val="000F5540"/>
    <w:rsid w:val="00106C46"/>
    <w:rsid w:val="00145358"/>
    <w:rsid w:val="0014763E"/>
    <w:rsid w:val="001539DD"/>
    <w:rsid w:val="001549F7"/>
    <w:rsid w:val="00160CEB"/>
    <w:rsid w:val="001906FB"/>
    <w:rsid w:val="00196568"/>
    <w:rsid w:val="001A2CF1"/>
    <w:rsid w:val="001A2F16"/>
    <w:rsid w:val="001A4F89"/>
    <w:rsid w:val="001B18C2"/>
    <w:rsid w:val="001C610F"/>
    <w:rsid w:val="001C7E3F"/>
    <w:rsid w:val="001D5D7E"/>
    <w:rsid w:val="002460BA"/>
    <w:rsid w:val="00254A1B"/>
    <w:rsid w:val="0028454D"/>
    <w:rsid w:val="00290ABD"/>
    <w:rsid w:val="00291C9E"/>
    <w:rsid w:val="002926D4"/>
    <w:rsid w:val="00295D9B"/>
    <w:rsid w:val="002A14B9"/>
    <w:rsid w:val="002A4959"/>
    <w:rsid w:val="002C07DA"/>
    <w:rsid w:val="002C7EA9"/>
    <w:rsid w:val="00310066"/>
    <w:rsid w:val="00323A8C"/>
    <w:rsid w:val="00342F20"/>
    <w:rsid w:val="00371C8A"/>
    <w:rsid w:val="003809C7"/>
    <w:rsid w:val="00387B20"/>
    <w:rsid w:val="00392151"/>
    <w:rsid w:val="003B6263"/>
    <w:rsid w:val="003C64A7"/>
    <w:rsid w:val="003D3FDA"/>
    <w:rsid w:val="003F475F"/>
    <w:rsid w:val="00420822"/>
    <w:rsid w:val="00446E62"/>
    <w:rsid w:val="00451667"/>
    <w:rsid w:val="0045458F"/>
    <w:rsid w:val="004633B4"/>
    <w:rsid w:val="00473941"/>
    <w:rsid w:val="004866A1"/>
    <w:rsid w:val="004B3553"/>
    <w:rsid w:val="004B5D6F"/>
    <w:rsid w:val="004C7BE1"/>
    <w:rsid w:val="00530E8C"/>
    <w:rsid w:val="00532D8B"/>
    <w:rsid w:val="00545933"/>
    <w:rsid w:val="00557544"/>
    <w:rsid w:val="00572E9C"/>
    <w:rsid w:val="00573C0C"/>
    <w:rsid w:val="00587875"/>
    <w:rsid w:val="005D20E6"/>
    <w:rsid w:val="005D23EF"/>
    <w:rsid w:val="005E115E"/>
    <w:rsid w:val="00607C04"/>
    <w:rsid w:val="00607E2B"/>
    <w:rsid w:val="00623CE1"/>
    <w:rsid w:val="0063062B"/>
    <w:rsid w:val="00667229"/>
    <w:rsid w:val="00682BE5"/>
    <w:rsid w:val="00690FED"/>
    <w:rsid w:val="006939A5"/>
    <w:rsid w:val="006A02CF"/>
    <w:rsid w:val="006A4000"/>
    <w:rsid w:val="006E6A57"/>
    <w:rsid w:val="006E7E88"/>
    <w:rsid w:val="00701CFE"/>
    <w:rsid w:val="00712451"/>
    <w:rsid w:val="00715D89"/>
    <w:rsid w:val="00716A94"/>
    <w:rsid w:val="00732F08"/>
    <w:rsid w:val="0074190C"/>
    <w:rsid w:val="00741B2A"/>
    <w:rsid w:val="00747790"/>
    <w:rsid w:val="00762576"/>
    <w:rsid w:val="00791060"/>
    <w:rsid w:val="007A507E"/>
    <w:rsid w:val="007A7150"/>
    <w:rsid w:val="007B00DD"/>
    <w:rsid w:val="007B304B"/>
    <w:rsid w:val="007B5626"/>
    <w:rsid w:val="007F094A"/>
    <w:rsid w:val="0080570B"/>
    <w:rsid w:val="00811DF7"/>
    <w:rsid w:val="008148E1"/>
    <w:rsid w:val="0081637C"/>
    <w:rsid w:val="008319BF"/>
    <w:rsid w:val="00832807"/>
    <w:rsid w:val="00853E59"/>
    <w:rsid w:val="00867DE0"/>
    <w:rsid w:val="008979BA"/>
    <w:rsid w:val="008A57BA"/>
    <w:rsid w:val="008D0E09"/>
    <w:rsid w:val="008F22D4"/>
    <w:rsid w:val="008F2AFD"/>
    <w:rsid w:val="00922A07"/>
    <w:rsid w:val="0097199F"/>
    <w:rsid w:val="0097693B"/>
    <w:rsid w:val="00993355"/>
    <w:rsid w:val="009A4A6D"/>
    <w:rsid w:val="009D5B9B"/>
    <w:rsid w:val="009F0E5C"/>
    <w:rsid w:val="00A108BE"/>
    <w:rsid w:val="00A13265"/>
    <w:rsid w:val="00A643D6"/>
    <w:rsid w:val="00A64D2B"/>
    <w:rsid w:val="00A71136"/>
    <w:rsid w:val="00A742A9"/>
    <w:rsid w:val="00A86E2A"/>
    <w:rsid w:val="00A9238B"/>
    <w:rsid w:val="00AA294A"/>
    <w:rsid w:val="00AA474C"/>
    <w:rsid w:val="00AB4C6A"/>
    <w:rsid w:val="00AB7B51"/>
    <w:rsid w:val="00AC051A"/>
    <w:rsid w:val="00AD7E5F"/>
    <w:rsid w:val="00B01AA1"/>
    <w:rsid w:val="00B2658D"/>
    <w:rsid w:val="00B30C81"/>
    <w:rsid w:val="00B33E4D"/>
    <w:rsid w:val="00B4793B"/>
    <w:rsid w:val="00B54924"/>
    <w:rsid w:val="00B839C6"/>
    <w:rsid w:val="00BB2115"/>
    <w:rsid w:val="00BF31EF"/>
    <w:rsid w:val="00BF7794"/>
    <w:rsid w:val="00C15633"/>
    <w:rsid w:val="00C15799"/>
    <w:rsid w:val="00C342CD"/>
    <w:rsid w:val="00C357AD"/>
    <w:rsid w:val="00C37D83"/>
    <w:rsid w:val="00C6069C"/>
    <w:rsid w:val="00CD5431"/>
    <w:rsid w:val="00CF2491"/>
    <w:rsid w:val="00D1252E"/>
    <w:rsid w:val="00D13B41"/>
    <w:rsid w:val="00D17D9B"/>
    <w:rsid w:val="00D34ABF"/>
    <w:rsid w:val="00D36655"/>
    <w:rsid w:val="00D57772"/>
    <w:rsid w:val="00D75A4D"/>
    <w:rsid w:val="00D8478B"/>
    <w:rsid w:val="00D86151"/>
    <w:rsid w:val="00DA7595"/>
    <w:rsid w:val="00DB0A68"/>
    <w:rsid w:val="00DC43A3"/>
    <w:rsid w:val="00DD7C09"/>
    <w:rsid w:val="00DF125E"/>
    <w:rsid w:val="00E0124F"/>
    <w:rsid w:val="00E10132"/>
    <w:rsid w:val="00E30EFA"/>
    <w:rsid w:val="00E371B0"/>
    <w:rsid w:val="00E50131"/>
    <w:rsid w:val="00E674D3"/>
    <w:rsid w:val="00E70FD0"/>
    <w:rsid w:val="00E73CC1"/>
    <w:rsid w:val="00E964A8"/>
    <w:rsid w:val="00F320C0"/>
    <w:rsid w:val="00F71494"/>
    <w:rsid w:val="00F84067"/>
    <w:rsid w:val="00F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rsid w:val="00867D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30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5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4C4"/>
    <w:rPr>
      <w:rFonts w:ascii="Tahoma" w:eastAsia="BatangChe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328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807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rsid w:val="00832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807"/>
    <w:rPr>
      <w:rFonts w:eastAsia="BatangChe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styleId="Hyperlink">
    <w:name w:val="Hyperlink"/>
    <w:rsid w:val="00867DE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304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85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54C4"/>
    <w:rPr>
      <w:rFonts w:ascii="Tahoma" w:eastAsia="BatangChe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328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8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2807"/>
    <w:rPr>
      <w:rFonts w:eastAsia="BatangChe"/>
    </w:rPr>
  </w:style>
  <w:style w:type="paragraph" w:styleId="CommentSubject">
    <w:name w:val="annotation subject"/>
    <w:basedOn w:val="CommentText"/>
    <w:next w:val="CommentText"/>
    <w:link w:val="CommentSubjectChar"/>
    <w:rsid w:val="008328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807"/>
    <w:rPr>
      <w:rFonts w:eastAsia="BatangCh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APT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2013-07-16T06:32:00Z</dcterms:created>
  <dcterms:modified xsi:type="dcterms:W3CDTF">2013-07-16T06:32:00Z</dcterms:modified>
</cp:coreProperties>
</file>