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376FE6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17209B" w:rsidRDefault="00295D9B" w:rsidP="006A4000">
            <w:pPr>
              <w:pStyle w:val="Heading8"/>
              <w:rPr>
                <w:sz w:val="24"/>
                <w:szCs w:val="24"/>
                <w:lang w:val="en-US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2922A4">
            <w:pPr>
              <w:spacing w:line="0" w:lineRule="atLeast"/>
            </w:pPr>
            <w:r>
              <w:rPr>
                <w:b/>
              </w:rPr>
              <w:t xml:space="preserve">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C045BD" w:rsidRDefault="00295D9B" w:rsidP="00DA13F6">
            <w:pPr>
              <w:rPr>
                <w:b/>
                <w:bCs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6A4000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094AF4">
            <w:pPr>
              <w:rPr>
                <w:b/>
              </w:rPr>
            </w:pPr>
          </w:p>
        </w:tc>
      </w:tr>
    </w:tbl>
    <w:p w:rsidR="00DA7595" w:rsidRDefault="002922A4" w:rsidP="00DA7595">
      <w:pPr>
        <w:rPr>
          <w:lang w:eastAsia="ko-KR"/>
        </w:rPr>
      </w:pPr>
      <w:r>
        <w:rPr>
          <w:lang w:eastAsia="ko-KR"/>
        </w:rPr>
        <w:t>Source: APG15-2/OUT-06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35036E" w:rsidRDefault="00D1252E" w:rsidP="00534D41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017D59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</w:t>
      </w:r>
      <w:r w:rsidR="0061286A">
        <w:rPr>
          <w:b/>
          <w:bCs/>
          <w:caps/>
          <w:sz w:val="28"/>
          <w:szCs w:val="28"/>
        </w:rPr>
        <w:t xml:space="preserve"> 4</w:t>
      </w:r>
      <w:bookmarkStart w:id="0" w:name="_GoBack"/>
      <w:bookmarkEnd w:id="0"/>
    </w:p>
    <w:p w:rsidR="00C357AD" w:rsidRDefault="00C357AD" w:rsidP="00C357AD">
      <w:pPr>
        <w:jc w:val="center"/>
        <w:rPr>
          <w:b/>
        </w:rPr>
      </w:pPr>
    </w:p>
    <w:p w:rsidR="0085237E" w:rsidRDefault="0085237E" w:rsidP="00C357AD">
      <w:pPr>
        <w:jc w:val="center"/>
        <w:rPr>
          <w:b/>
        </w:rPr>
      </w:pPr>
    </w:p>
    <w:p w:rsidR="00C357AD" w:rsidRDefault="00C357AD" w:rsidP="00C357AD">
      <w:pPr>
        <w:jc w:val="both"/>
        <w:rPr>
          <w:b/>
        </w:rPr>
      </w:pPr>
    </w:p>
    <w:p w:rsidR="00D70C34" w:rsidRDefault="00D70C34" w:rsidP="00D70C34">
      <w:pPr>
        <w:jc w:val="both"/>
      </w:pPr>
      <w:r>
        <w:rPr>
          <w:b/>
        </w:rPr>
        <w:t xml:space="preserve">Agenda Item 4: </w:t>
      </w:r>
    </w:p>
    <w:p w:rsidR="00D70C34" w:rsidRPr="00D70C34" w:rsidRDefault="00D70C34" w:rsidP="00C357AD">
      <w:pPr>
        <w:jc w:val="both"/>
        <w:rPr>
          <w:i/>
          <w:iCs/>
          <w:sz w:val="32"/>
          <w:szCs w:val="32"/>
        </w:rPr>
      </w:pPr>
      <w:proofErr w:type="gramStart"/>
      <w:r w:rsidRPr="00D70C34">
        <w:rPr>
          <w:i/>
          <w:iCs/>
          <w:szCs w:val="32"/>
        </w:rPr>
        <w:t>in</w:t>
      </w:r>
      <w:proofErr w:type="gramEnd"/>
      <w:r w:rsidRPr="00D70C34">
        <w:rPr>
          <w:i/>
          <w:iCs/>
          <w:szCs w:val="32"/>
        </w:rPr>
        <w:t xml:space="preserve"> accordance with Resolution </w:t>
      </w:r>
      <w:r w:rsidRPr="00D70C34">
        <w:rPr>
          <w:b/>
          <w:bCs/>
          <w:i/>
          <w:iCs/>
          <w:szCs w:val="32"/>
        </w:rPr>
        <w:t>95 (Rev.WRC</w:t>
      </w:r>
      <w:r w:rsidRPr="00D70C34">
        <w:rPr>
          <w:b/>
          <w:bCs/>
          <w:i/>
          <w:iCs/>
          <w:szCs w:val="32"/>
        </w:rPr>
        <w:noBreakHyphen/>
        <w:t>07)</w:t>
      </w:r>
      <w:r w:rsidRPr="00D70C34">
        <w:rPr>
          <w:i/>
          <w:iCs/>
          <w:szCs w:val="32"/>
        </w:rPr>
        <w:t>, to review the resolutions and recommendations of previous conferences with a view to their possible revision, replacement or abrogation;</w:t>
      </w:r>
    </w:p>
    <w:p w:rsidR="00D70C34" w:rsidRDefault="00D70C34" w:rsidP="00C357AD">
      <w:pPr>
        <w:jc w:val="both"/>
      </w:pPr>
    </w:p>
    <w:p w:rsidR="00685BC8" w:rsidRDefault="00685BC8" w:rsidP="00056660">
      <w:pPr>
        <w:jc w:val="lowKashida"/>
        <w:rPr>
          <w:rFonts w:eastAsia="Arial Unicode MS"/>
        </w:rPr>
      </w:pPr>
    </w:p>
    <w:p w:rsidR="00672D50" w:rsidRPr="00056660" w:rsidRDefault="00672D50" w:rsidP="00056660">
      <w:pPr>
        <w:jc w:val="lowKashida"/>
        <w:rPr>
          <w:rFonts w:eastAsia="Arial Unicode MS"/>
          <w:b/>
          <w:bCs/>
        </w:rPr>
      </w:pPr>
      <w:r w:rsidRPr="00056660">
        <w:rPr>
          <w:b/>
          <w:bCs/>
          <w:szCs w:val="22"/>
        </w:rPr>
        <w:t>APT Preliminary Views</w:t>
      </w:r>
    </w:p>
    <w:p w:rsidR="00B147C6" w:rsidRDefault="00672D50" w:rsidP="00B147C6">
      <w:pPr>
        <w:jc w:val="lowKashida"/>
        <w:rPr>
          <w:bCs/>
        </w:rPr>
      </w:pPr>
      <w:r w:rsidRPr="00FD6F1A">
        <w:t xml:space="preserve">APT </w:t>
      </w:r>
      <w:r>
        <w:t>M</w:t>
      </w:r>
      <w:r w:rsidRPr="00FD6F1A">
        <w:t xml:space="preserve">embers are encouraged to </w:t>
      </w:r>
      <w:r w:rsidR="00B147C6" w:rsidRPr="00FD6F1A">
        <w:rPr>
          <w:bCs/>
        </w:rPr>
        <w:t xml:space="preserve">review Resolutions and Recommendations of the previous conferences </w:t>
      </w:r>
      <w:r w:rsidR="00B147C6">
        <w:rPr>
          <w:bCs/>
        </w:rPr>
        <w:t xml:space="preserve">in accordance with Resolution </w:t>
      </w:r>
      <w:r w:rsidR="00B147C6">
        <w:rPr>
          <w:b/>
          <w:bCs/>
        </w:rPr>
        <w:t xml:space="preserve">95 (Rev.WRC-07) </w:t>
      </w:r>
      <w:r w:rsidR="00B147C6" w:rsidRPr="00B147C6">
        <w:rPr>
          <w:bCs/>
        </w:rPr>
        <w:t>with a view to developing regional positions in APG15.</w:t>
      </w:r>
    </w:p>
    <w:p w:rsidR="00B147C6" w:rsidRPr="00B147C6" w:rsidRDefault="00B147C6" w:rsidP="00B147C6">
      <w:pPr>
        <w:jc w:val="lowKashida"/>
        <w:rPr>
          <w:bCs/>
        </w:rPr>
      </w:pPr>
    </w:p>
    <w:p w:rsidR="00672D50" w:rsidRPr="00B80DB2" w:rsidRDefault="00B147C6" w:rsidP="00AF2A24">
      <w:pPr>
        <w:jc w:val="lowKashida"/>
        <w:rPr>
          <w:rFonts w:eastAsia="Arial Unicode MS"/>
        </w:rPr>
      </w:pPr>
      <w:r>
        <w:rPr>
          <w:color w:val="000000"/>
        </w:rPr>
        <w:t>T</w:t>
      </w:r>
      <w:r w:rsidR="00672D50" w:rsidRPr="00FD6F1A">
        <w:rPr>
          <w:color w:val="000000"/>
        </w:rPr>
        <w:t xml:space="preserve">o facilitate consideration of the Agenda </w:t>
      </w:r>
      <w:r w:rsidR="00AF2A24">
        <w:rPr>
          <w:color w:val="000000"/>
        </w:rPr>
        <w:t>I</w:t>
      </w:r>
      <w:r w:rsidR="00672D50" w:rsidRPr="00FD6F1A">
        <w:rPr>
          <w:color w:val="000000"/>
        </w:rPr>
        <w:t xml:space="preserve">tem 4 </w:t>
      </w:r>
      <w:r>
        <w:rPr>
          <w:color w:val="000000"/>
        </w:rPr>
        <w:t>at</w:t>
      </w:r>
      <w:r w:rsidR="00672D50" w:rsidRPr="00FD6F1A">
        <w:rPr>
          <w:color w:val="000000"/>
        </w:rPr>
        <w:t xml:space="preserve"> future APG</w:t>
      </w:r>
      <w:r w:rsidR="00056660">
        <w:rPr>
          <w:color w:val="000000"/>
        </w:rPr>
        <w:t>15</w:t>
      </w:r>
      <w:r w:rsidR="00672D50" w:rsidRPr="00FD6F1A">
        <w:rPr>
          <w:color w:val="000000"/>
        </w:rPr>
        <w:t xml:space="preserve"> meetings, a list of the past conference Resolutions and Recommendations is </w:t>
      </w:r>
      <w:r>
        <w:rPr>
          <w:color w:val="000000"/>
        </w:rPr>
        <w:t>provided</w:t>
      </w:r>
      <w:r w:rsidRPr="00FD6F1A">
        <w:rPr>
          <w:color w:val="000000"/>
        </w:rPr>
        <w:t xml:space="preserve"> </w:t>
      </w:r>
      <w:r w:rsidR="00672D50" w:rsidRPr="00FD6F1A">
        <w:rPr>
          <w:color w:val="000000"/>
        </w:rPr>
        <w:t xml:space="preserve">in </w:t>
      </w:r>
      <w:r w:rsidR="00D30EE8">
        <w:rPr>
          <w:color w:val="000000"/>
        </w:rPr>
        <w:t xml:space="preserve">the </w:t>
      </w:r>
      <w:r w:rsidR="00672D50">
        <w:rPr>
          <w:color w:val="000000"/>
        </w:rPr>
        <w:t xml:space="preserve">table in </w:t>
      </w:r>
      <w:r w:rsidR="00672D50" w:rsidRPr="00C66D88">
        <w:rPr>
          <w:color w:val="000000"/>
        </w:rPr>
        <w:t xml:space="preserve">Attachment </w:t>
      </w:r>
      <w:r w:rsidR="00C4319C" w:rsidRPr="00C66D88">
        <w:rPr>
          <w:color w:val="000000"/>
        </w:rPr>
        <w:t>1</w:t>
      </w:r>
      <w:r w:rsidR="00672D50" w:rsidRPr="00FD6F1A">
        <w:rPr>
          <w:color w:val="000000"/>
        </w:rPr>
        <w:t xml:space="preserve"> to this document.</w:t>
      </w:r>
      <w:r w:rsidR="00672D50" w:rsidRPr="00FD6F1A">
        <w:rPr>
          <w:rFonts w:eastAsia="Arial Unicode MS"/>
        </w:rPr>
        <w:t xml:space="preserve"> </w:t>
      </w:r>
      <w:r w:rsidR="00672D50" w:rsidRPr="00B80DB2">
        <w:rPr>
          <w:rFonts w:eastAsia="Arial Unicode MS"/>
        </w:rPr>
        <w:t>Th</w:t>
      </w:r>
      <w:r w:rsidR="00672D50">
        <w:rPr>
          <w:rFonts w:eastAsia="Arial Unicode MS"/>
        </w:rPr>
        <w:t xml:space="preserve">is </w:t>
      </w:r>
      <w:r w:rsidR="00672D50" w:rsidRPr="00B80DB2">
        <w:rPr>
          <w:rFonts w:eastAsia="Arial Unicode MS"/>
        </w:rPr>
        <w:t xml:space="preserve">table is intended to summarize the possible course of actions to be taken in response </w:t>
      </w:r>
      <w:r w:rsidR="00D30EE8">
        <w:rPr>
          <w:rFonts w:eastAsia="Arial Unicode MS"/>
        </w:rPr>
        <w:t>to</w:t>
      </w:r>
      <w:r w:rsidR="00D30EE8" w:rsidRPr="00B80DB2">
        <w:rPr>
          <w:rFonts w:eastAsia="Arial Unicode MS"/>
        </w:rPr>
        <w:t xml:space="preserve"> </w:t>
      </w:r>
      <w:r w:rsidR="00672D50" w:rsidRPr="00B80DB2">
        <w:rPr>
          <w:rFonts w:eastAsia="Arial Unicode MS"/>
        </w:rPr>
        <w:t xml:space="preserve">the concerned Resolution or Recommendation. Furthermore, a reference is made to the relevant WRC </w:t>
      </w:r>
      <w:r w:rsidR="00D30EE8">
        <w:rPr>
          <w:rFonts w:eastAsia="Arial Unicode MS"/>
        </w:rPr>
        <w:t>A</w:t>
      </w:r>
      <w:r w:rsidR="00672D50" w:rsidRPr="00B80DB2">
        <w:rPr>
          <w:rFonts w:eastAsia="Arial Unicode MS"/>
        </w:rPr>
        <w:t xml:space="preserve">genda item for those Resolutions and Recommendations which are covered by the agenda </w:t>
      </w:r>
      <w:r w:rsidR="00056660">
        <w:rPr>
          <w:rFonts w:eastAsia="Arial Unicode MS"/>
        </w:rPr>
        <w:t>o</w:t>
      </w:r>
      <w:r w:rsidR="00672D50">
        <w:rPr>
          <w:rFonts w:eastAsia="Arial Unicode MS"/>
        </w:rPr>
        <w:t xml:space="preserve">f </w:t>
      </w:r>
      <w:r w:rsidR="00672D50" w:rsidRPr="00B80DB2">
        <w:rPr>
          <w:rFonts w:eastAsia="Arial Unicode MS"/>
        </w:rPr>
        <w:t>WRC-</w:t>
      </w:r>
      <w:r w:rsidR="00056660">
        <w:rPr>
          <w:rFonts w:eastAsia="Arial Unicode MS"/>
        </w:rPr>
        <w:t>15</w:t>
      </w:r>
      <w:r w:rsidR="00D05FF4">
        <w:rPr>
          <w:rFonts w:eastAsia="Arial Unicode MS"/>
        </w:rPr>
        <w:t xml:space="preserve"> other than Agenda item 4</w:t>
      </w:r>
      <w:r w:rsidR="00672D50" w:rsidRPr="00B80DB2">
        <w:rPr>
          <w:rFonts w:eastAsia="Arial Unicode MS"/>
        </w:rPr>
        <w:t>.</w:t>
      </w:r>
    </w:p>
    <w:p w:rsidR="0054344C" w:rsidRPr="001B3018" w:rsidRDefault="006E4559" w:rsidP="00C045BD">
      <w:pPr>
        <w:jc w:val="both"/>
      </w:pPr>
      <w:r>
        <w:br w:type="page"/>
      </w:r>
      <w:r w:rsidR="00C045BD" w:rsidRPr="00E7640B">
        <w:rPr>
          <w:b/>
        </w:rPr>
        <w:lastRenderedPageBreak/>
        <w:t xml:space="preserve"> </w:t>
      </w:r>
    </w:p>
    <w:p w:rsidR="0054344C" w:rsidRDefault="0054344C" w:rsidP="00B00A12">
      <w:pPr>
        <w:jc w:val="center"/>
        <w:rPr>
          <w:b/>
        </w:rPr>
      </w:pPr>
      <w:r w:rsidRPr="001B3018">
        <w:rPr>
          <w:b/>
        </w:rPr>
        <w:t>A</w:t>
      </w:r>
      <w:r w:rsidR="00B00A12">
        <w:rPr>
          <w:b/>
        </w:rPr>
        <w:t>TTACHMENT 1</w:t>
      </w:r>
    </w:p>
    <w:p w:rsidR="00B00A12" w:rsidRDefault="00B00A12" w:rsidP="00B00A12">
      <w:pPr>
        <w:jc w:val="center"/>
        <w:rPr>
          <w:b/>
        </w:rPr>
      </w:pPr>
    </w:p>
    <w:p w:rsidR="00B00A12" w:rsidRPr="001B3018" w:rsidRDefault="00B00A12" w:rsidP="00B00A12">
      <w:pPr>
        <w:jc w:val="center"/>
        <w:rPr>
          <w:b/>
        </w:rPr>
      </w:pPr>
    </w:p>
    <w:p w:rsidR="00B00A12" w:rsidRPr="001B3018" w:rsidRDefault="00B00A12" w:rsidP="00435399">
      <w:pPr>
        <w:jc w:val="lowKashida"/>
      </w:pPr>
      <w:r>
        <w:rPr>
          <w:color w:val="000000"/>
        </w:rPr>
        <w:t>T</w:t>
      </w:r>
      <w:r w:rsidRPr="00FD6F1A">
        <w:rPr>
          <w:color w:val="000000"/>
        </w:rPr>
        <w:t xml:space="preserve">o facilitate consideration of the Agenda item 4 </w:t>
      </w:r>
      <w:r>
        <w:rPr>
          <w:color w:val="000000"/>
        </w:rPr>
        <w:t>at</w:t>
      </w:r>
      <w:r w:rsidRPr="00FD6F1A">
        <w:rPr>
          <w:color w:val="000000"/>
        </w:rPr>
        <w:t xml:space="preserve"> future APG</w:t>
      </w:r>
      <w:r>
        <w:rPr>
          <w:color w:val="000000"/>
        </w:rPr>
        <w:t>15</w:t>
      </w:r>
      <w:r w:rsidRPr="00FD6F1A">
        <w:rPr>
          <w:color w:val="000000"/>
        </w:rPr>
        <w:t xml:space="preserve"> meetings, a list of the past conference Resolutions and Recommendations is </w:t>
      </w:r>
      <w:r>
        <w:rPr>
          <w:color w:val="000000"/>
        </w:rPr>
        <w:t>provided</w:t>
      </w:r>
      <w:r w:rsidRPr="00FD6F1A">
        <w:rPr>
          <w:color w:val="000000"/>
        </w:rPr>
        <w:t xml:space="preserve"> in </w:t>
      </w:r>
      <w:r>
        <w:rPr>
          <w:color w:val="000000"/>
        </w:rPr>
        <w:t xml:space="preserve">the Table below. </w:t>
      </w:r>
      <w:r w:rsidRPr="00B80DB2">
        <w:rPr>
          <w:rFonts w:eastAsia="Arial Unicode MS"/>
        </w:rPr>
        <w:t>Th</w:t>
      </w:r>
      <w:r>
        <w:rPr>
          <w:rFonts w:eastAsia="Arial Unicode MS"/>
        </w:rPr>
        <w:t xml:space="preserve">is </w:t>
      </w:r>
      <w:r w:rsidRPr="00B80DB2">
        <w:rPr>
          <w:rFonts w:eastAsia="Arial Unicode MS"/>
        </w:rPr>
        <w:t xml:space="preserve">table is intended to summarize the possible course of actions to be taken in response </w:t>
      </w:r>
      <w:r>
        <w:rPr>
          <w:rFonts w:eastAsia="Arial Unicode MS"/>
        </w:rPr>
        <w:t>to</w:t>
      </w:r>
      <w:r w:rsidRPr="00B80DB2">
        <w:rPr>
          <w:rFonts w:eastAsia="Arial Unicode MS"/>
        </w:rPr>
        <w:t xml:space="preserve"> the concerned Resolution or Recommendation. </w:t>
      </w:r>
      <w:r w:rsidR="00435399">
        <w:rPr>
          <w:rFonts w:eastAsia="Arial Unicode MS"/>
        </w:rPr>
        <w:t xml:space="preserve">In this connection, </w:t>
      </w:r>
      <w:r w:rsidRPr="001B3018">
        <w:t>the following points need to be noted:</w:t>
      </w:r>
    </w:p>
    <w:p w:rsidR="00B00A12" w:rsidRPr="001B3018" w:rsidRDefault="00D62C5A" w:rsidP="00D62C5A">
      <w:pPr>
        <w:numPr>
          <w:ilvl w:val="0"/>
          <w:numId w:val="9"/>
        </w:numPr>
        <w:spacing w:beforeLines="50" w:before="120"/>
        <w:ind w:left="357" w:hanging="357"/>
        <w:jc w:val="both"/>
      </w:pPr>
      <w:r>
        <w:t>m</w:t>
      </w:r>
      <w:r w:rsidR="00B00A12" w:rsidRPr="001B3018">
        <w:t xml:space="preserve">ost of the information </w:t>
      </w:r>
      <w:r w:rsidR="00B00A12">
        <w:rPr>
          <w:rFonts w:eastAsia="Times New Roman" w:hint="eastAsia"/>
          <w:lang w:eastAsia="ja-JP"/>
        </w:rPr>
        <w:t xml:space="preserve">in the </w:t>
      </w:r>
      <w:r w:rsidR="00B00A12">
        <w:rPr>
          <w:rFonts w:eastAsia="Times New Roman"/>
          <w:lang w:eastAsia="ja-JP"/>
        </w:rPr>
        <w:t>“</w:t>
      </w:r>
      <w:r w:rsidR="00B00A12">
        <w:rPr>
          <w:rFonts w:eastAsia="Times New Roman" w:hint="eastAsia"/>
          <w:lang w:eastAsia="ja-JP"/>
        </w:rPr>
        <w:t>Remark</w:t>
      </w:r>
      <w:r w:rsidR="00B00A12">
        <w:rPr>
          <w:rFonts w:eastAsia="Times New Roman"/>
          <w:lang w:eastAsia="ja-JP"/>
        </w:rPr>
        <w:t>”</w:t>
      </w:r>
      <w:r w:rsidR="00B00A12">
        <w:rPr>
          <w:rFonts w:eastAsia="Times New Roman" w:hint="eastAsia"/>
          <w:lang w:eastAsia="ja-JP"/>
        </w:rPr>
        <w:t xml:space="preserve"> column </w:t>
      </w:r>
      <w:r w:rsidR="00B00A12" w:rsidRPr="001B3018">
        <w:t>is based on the APT common proposal submitted to WRC-</w:t>
      </w:r>
      <w:r w:rsidR="00B00A12">
        <w:rPr>
          <w:rFonts w:hint="eastAsia"/>
        </w:rPr>
        <w:t>12</w:t>
      </w:r>
      <w:r w:rsidR="00B00A12" w:rsidRPr="001B3018">
        <w:t xml:space="preserve">, therefore  </w:t>
      </w:r>
      <w:r w:rsidR="00B00A12">
        <w:rPr>
          <w:rFonts w:eastAsia="Times New Roman" w:hint="eastAsia"/>
          <w:lang w:eastAsia="ja-JP"/>
        </w:rPr>
        <w:t>it</w:t>
      </w:r>
      <w:r w:rsidR="00B00A12" w:rsidRPr="001B3018">
        <w:t xml:space="preserve"> should be reconsidered and updated by the </w:t>
      </w:r>
      <w:r>
        <w:t xml:space="preserve">future </w:t>
      </w:r>
      <w:r w:rsidR="00B00A12" w:rsidRPr="001B3018">
        <w:t>APG1</w:t>
      </w:r>
      <w:r w:rsidR="00B00A12">
        <w:rPr>
          <w:rFonts w:hint="eastAsia"/>
        </w:rPr>
        <w:t>5</w:t>
      </w:r>
      <w:r>
        <w:t xml:space="preserve"> </w:t>
      </w:r>
      <w:r w:rsidR="00B00A12" w:rsidRPr="00886301">
        <w:rPr>
          <w:rFonts w:eastAsia="Times New Roman" w:hint="eastAsia"/>
          <w:lang w:eastAsia="ja-JP"/>
        </w:rPr>
        <w:t>meetings</w:t>
      </w:r>
      <w:r w:rsidR="00B00A12" w:rsidRPr="001B3018">
        <w:t>;</w:t>
      </w:r>
    </w:p>
    <w:p w:rsidR="00B00A12" w:rsidRPr="001B3018" w:rsidRDefault="00D62C5A" w:rsidP="00B00A12">
      <w:pPr>
        <w:numPr>
          <w:ilvl w:val="0"/>
          <w:numId w:val="9"/>
        </w:numPr>
        <w:spacing w:beforeLines="50" w:before="120"/>
        <w:ind w:left="357" w:hanging="357"/>
        <w:jc w:val="both"/>
      </w:pPr>
      <w:proofErr w:type="gramStart"/>
      <w:r>
        <w:t>t</w:t>
      </w:r>
      <w:r w:rsidR="00B00A12" w:rsidRPr="001B3018">
        <w:t>he</w:t>
      </w:r>
      <w:proofErr w:type="gramEnd"/>
      <w:r w:rsidR="00B00A12" w:rsidRPr="001B3018">
        <w:t xml:space="preserve"> Resolutions contained in the shaded rows are those explicitly on the WRC-1</w:t>
      </w:r>
      <w:r w:rsidR="00B00A12">
        <w:rPr>
          <w:rFonts w:hint="eastAsia"/>
        </w:rPr>
        <w:t>5</w:t>
      </w:r>
      <w:r w:rsidR="00B00A12" w:rsidRPr="001B3018">
        <w:t xml:space="preserve"> Agenda items</w:t>
      </w:r>
      <w:r w:rsidR="00B00A12">
        <w:rPr>
          <w:rFonts w:eastAsia="Times New Roman" w:hint="eastAsia"/>
          <w:lang w:eastAsia="ja-JP"/>
        </w:rPr>
        <w:t xml:space="preserve"> (or, in some cases, on the preliminary agenda for WRC-18)</w:t>
      </w:r>
      <w:r w:rsidR="00B00A12" w:rsidRPr="001B3018">
        <w:t>. Initial consideration on such Resolutions, as usual practice, may be referred to the Working Parties responsible for those A</w:t>
      </w:r>
      <w:r>
        <w:t xml:space="preserve">genda </w:t>
      </w:r>
      <w:r w:rsidR="00B00A12" w:rsidRPr="001B3018">
        <w:t>I</w:t>
      </w:r>
      <w:r>
        <w:t>tem</w:t>
      </w:r>
      <w:r w:rsidR="00B00A12" w:rsidRPr="001B3018">
        <w:t>s;</w:t>
      </w:r>
    </w:p>
    <w:p w:rsidR="00B00A12" w:rsidRPr="001B3018" w:rsidRDefault="00B00A12" w:rsidP="00B00A12"/>
    <w:p w:rsidR="00B00A12" w:rsidRDefault="00B00A12" w:rsidP="0054344C">
      <w:pPr>
        <w:rPr>
          <w:b/>
          <w:sz w:val="28"/>
          <w:szCs w:val="28"/>
          <w:lang w:eastAsia="ko-KR"/>
        </w:rPr>
      </w:pPr>
    </w:p>
    <w:p w:rsidR="0054344C" w:rsidRDefault="0054344C" w:rsidP="00AA2AD2">
      <w:pPr>
        <w:rPr>
          <w:b/>
          <w:sz w:val="28"/>
          <w:szCs w:val="28"/>
          <w:lang w:eastAsia="ko-KR"/>
        </w:rPr>
        <w:sectPr w:rsidR="0054344C" w:rsidSect="00DB0A68">
          <w:headerReference w:type="default" r:id="rId10"/>
          <w:footerReference w:type="even" r:id="rId11"/>
          <w:footerReference w:type="default" r:id="rId12"/>
          <w:footerReference w:type="first" r:id="rId13"/>
          <w:pgSz w:w="11909" w:h="16834" w:code="9"/>
          <w:pgMar w:top="1195" w:right="1152" w:bottom="1138" w:left="1440" w:header="720" w:footer="720" w:gutter="0"/>
          <w:cols w:space="720"/>
          <w:titlePg/>
          <w:docGrid w:linePitch="360"/>
        </w:sectPr>
      </w:pPr>
    </w:p>
    <w:p w:rsidR="00DD3B31" w:rsidRPr="00D92C82" w:rsidRDefault="00DD3B31" w:rsidP="00DD3B31">
      <w:pPr>
        <w:pStyle w:val="AnnexNotitle"/>
        <w:rPr>
          <w:lang w:eastAsia="ja-JP"/>
        </w:rPr>
      </w:pPr>
      <w:r>
        <w:rPr>
          <w:rFonts w:hint="eastAsia"/>
          <w:lang w:eastAsia="ja-JP"/>
        </w:rPr>
        <w:lastRenderedPageBreak/>
        <w:t>List of</w:t>
      </w:r>
      <w:r w:rsidRPr="002C2BBD">
        <w:t xml:space="preserve"> WRC Resolutions </w:t>
      </w:r>
      <w:r>
        <w:rPr>
          <w:rFonts w:hint="eastAsia"/>
          <w:lang w:eastAsia="ja-JP"/>
        </w:rPr>
        <w:t>&amp; Recommendations</w:t>
      </w:r>
      <w:r>
        <w:br/>
      </w:r>
      <w:r>
        <w:rPr>
          <w:rFonts w:hint="eastAsia"/>
          <w:lang w:eastAsia="ja-JP"/>
        </w:rPr>
        <w:t>for consideration by WRC-15 under Agenda item 4</w:t>
      </w:r>
    </w:p>
    <w:p w:rsidR="00DD3B31" w:rsidRPr="002C2BBD" w:rsidRDefault="00DD3B31" w:rsidP="00DD3B31"/>
    <w:tbl>
      <w:tblPr>
        <w:tblW w:w="14765" w:type="dxa"/>
        <w:jc w:val="center"/>
        <w:tblInd w:w="-3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71"/>
        <w:gridCol w:w="4395"/>
        <w:gridCol w:w="7223"/>
        <w:gridCol w:w="1088"/>
        <w:gridCol w:w="1088"/>
      </w:tblGrid>
      <w:tr w:rsidR="00DD3B31" w:rsidRPr="002C2BBD" w:rsidTr="0017209B">
        <w:trPr>
          <w:cantSplit/>
          <w:tblHeader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DD3B31" w:rsidRPr="002C2BBD" w:rsidRDefault="00DD3B31" w:rsidP="0017209B">
            <w:pPr>
              <w:pStyle w:val="Tablehead0"/>
            </w:pPr>
            <w:r w:rsidRPr="002C2BBD">
              <w:t>Res. No.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D3B31" w:rsidRPr="002C2BBD" w:rsidRDefault="00DD3B31" w:rsidP="0017209B">
            <w:pPr>
              <w:pStyle w:val="Tablehead0"/>
            </w:pPr>
            <w:r w:rsidRPr="002C2BBD">
              <w:t>Subject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DD3B31" w:rsidRDefault="00DD3B31" w:rsidP="0017209B">
            <w:pPr>
              <w:pStyle w:val="Tablehead0"/>
              <w:rPr>
                <w:lang w:eastAsia="ja-JP"/>
              </w:rPr>
            </w:pPr>
            <w:r w:rsidRPr="002C2BBD">
              <w:t>Remark</w:t>
            </w:r>
            <w:r>
              <w:rPr>
                <w:rFonts w:hint="eastAsia"/>
                <w:lang w:eastAsia="ja-JP"/>
              </w:rPr>
              <w:t>s made by the APG in its common proposal to the WRC-12</w:t>
            </w:r>
          </w:p>
          <w:p w:rsidR="00DD3B31" w:rsidRPr="002C2BBD" w:rsidRDefault="00DD3B31" w:rsidP="0017209B">
            <w:pPr>
              <w:pStyle w:val="Tablehead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(or new remarks in relation to the WRC-15 Agenda items)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DD3B31" w:rsidRPr="002C2BBD" w:rsidRDefault="00DD3B31" w:rsidP="0017209B">
            <w:pPr>
              <w:pStyle w:val="Tablehead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Action taken by WRC-12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head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New proposed action</w:t>
            </w:r>
          </w:p>
        </w:tc>
      </w:tr>
      <w:tr w:rsidR="00DD3B31" w:rsidRPr="002C2BBD" w:rsidTr="0017209B">
        <w:trPr>
          <w:cantSplit/>
          <w:tblHeader/>
          <w:jc w:val="center"/>
        </w:trPr>
        <w:tc>
          <w:tcPr>
            <w:tcW w:w="14765" w:type="dxa"/>
            <w:gridSpan w:val="5"/>
            <w:shd w:val="clear" w:color="auto" w:fill="auto"/>
            <w:vAlign w:val="center"/>
          </w:tcPr>
          <w:p w:rsidR="00DD3B31" w:rsidRPr="002C2BBD" w:rsidDel="00134555" w:rsidRDefault="00DD3B31" w:rsidP="0017209B">
            <w:pPr>
              <w:pStyle w:val="Tablehead0"/>
            </w:pPr>
            <w:r w:rsidRPr="002C2BBD">
              <w:t>Resolutions</w:t>
            </w: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1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2C2BBD">
              <w:t>Notification of frequency assignments</w:t>
            </w:r>
          </w:p>
        </w:tc>
        <w:tc>
          <w:tcPr>
            <w:tcW w:w="7223" w:type="dxa"/>
          </w:tcPr>
          <w:p w:rsidR="00DD3B31" w:rsidRPr="002C2BBD" w:rsidRDefault="00DD3B31" w:rsidP="0017209B">
            <w:pPr>
              <w:pStyle w:val="Tabletext"/>
              <w:rPr>
                <w:rStyle w:val="FootnoteReference"/>
                <w:color w:val="000000"/>
              </w:rPr>
            </w:pPr>
            <w:r w:rsidRPr="002207DE">
              <w:rPr>
                <w:bCs/>
              </w:rPr>
              <w:t>Still relevant.</w:t>
            </w:r>
            <w:r w:rsidRPr="002207DE">
              <w:rPr>
                <w:bCs/>
                <w:lang w:eastAsia="ja-JP"/>
              </w:rPr>
              <w:t xml:space="preserve"> This Resolution is referred to in No. </w:t>
            </w:r>
            <w:r w:rsidRPr="00CA192C">
              <w:rPr>
                <w:b/>
                <w:bCs/>
                <w:lang w:eastAsia="ja-JP"/>
              </w:rPr>
              <w:t xml:space="preserve">26/5.2 </w:t>
            </w:r>
            <w:r w:rsidRPr="002207DE">
              <w:rPr>
                <w:bCs/>
                <w:lang w:eastAsia="ja-JP"/>
              </w:rPr>
              <w:t xml:space="preserve">of Appendix </w:t>
            </w:r>
            <w:r w:rsidRPr="003353EC">
              <w:rPr>
                <w:b/>
                <w:bCs/>
                <w:lang w:eastAsia="ja-JP"/>
              </w:rPr>
              <w:t>26</w:t>
            </w:r>
            <w:r w:rsidRPr="002207DE">
              <w:rPr>
                <w:bCs/>
                <w:lang w:eastAsia="ja-JP"/>
              </w:rPr>
              <w:t>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2C2BBD"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2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2C2BBD">
              <w:t>Equitable use of GSO and frequency bands for space services</w:t>
            </w:r>
          </w:p>
        </w:tc>
        <w:tc>
          <w:tcPr>
            <w:tcW w:w="7223" w:type="dxa"/>
          </w:tcPr>
          <w:p w:rsidR="00DD3B31" w:rsidRPr="002C2BBD" w:rsidRDefault="00DD3B31" w:rsidP="0017209B">
            <w:pPr>
              <w:pStyle w:val="Tabletext"/>
              <w:rPr>
                <w:rStyle w:val="FootnoteReference"/>
                <w:color w:val="000000"/>
                <w:lang w:eastAsia="ja-JP"/>
              </w:rPr>
            </w:pPr>
            <w:r w:rsidRPr="002C2BBD">
              <w:t>Still relevant</w:t>
            </w:r>
            <w:r>
              <w:rPr>
                <w:rFonts w:hint="eastAsia"/>
                <w:lang w:eastAsia="ja-JP"/>
              </w:rPr>
              <w:t>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4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2C2BBD">
              <w:t>Period of validity of GSO space systems</w:t>
            </w:r>
          </w:p>
        </w:tc>
        <w:tc>
          <w:tcPr>
            <w:tcW w:w="7223" w:type="dxa"/>
          </w:tcPr>
          <w:p w:rsidR="00DD3B31" w:rsidRPr="002C2BBD" w:rsidRDefault="00DD3B31" w:rsidP="0017209B">
            <w:pPr>
              <w:pStyle w:val="Tabletext"/>
            </w:pPr>
            <w:r w:rsidRPr="002207DE">
              <w:rPr>
                <w:bCs/>
                <w:lang w:eastAsia="ja-JP"/>
              </w:rPr>
              <w:t>Still relevant. There is no progress in the ITU-R studies invited in this Resolution.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5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2C2BBD">
              <w:t>Technical cooperation</w:t>
            </w:r>
            <w:r w:rsidRPr="00686E4E">
              <w:rPr>
                <w:bCs/>
              </w:rPr>
              <w:t xml:space="preserve"> with the developing countries </w:t>
            </w:r>
            <w:r w:rsidRPr="00686E4E">
              <w:rPr>
                <w:bCs/>
                <w:lang w:eastAsia="ja-JP"/>
              </w:rPr>
              <w:t>in the study of</w:t>
            </w:r>
            <w:r w:rsidRPr="00686E4E">
              <w:rPr>
                <w:bCs/>
              </w:rPr>
              <w:t xml:space="preserve"> propagation in tropical areas</w:t>
            </w:r>
          </w:p>
        </w:tc>
        <w:tc>
          <w:tcPr>
            <w:tcW w:w="7223" w:type="dxa"/>
          </w:tcPr>
          <w:p w:rsidR="00DD3B31" w:rsidRPr="00BA4194" w:rsidRDefault="00DD3B31" w:rsidP="0017209B">
            <w:pPr>
              <w:pStyle w:val="Tabletext"/>
              <w:rPr>
                <w:rStyle w:val="FootnoteReference"/>
                <w:lang w:eastAsia="ja-JP"/>
              </w:rPr>
            </w:pPr>
            <w:r w:rsidRPr="002C2BBD">
              <w:t xml:space="preserve">Still relevant; text </w:t>
            </w:r>
            <w:r>
              <w:rPr>
                <w:rFonts w:hint="eastAsia"/>
                <w:lang w:eastAsia="ja-JP"/>
              </w:rPr>
              <w:t>was</w:t>
            </w:r>
            <w:r w:rsidRPr="002C2BBD">
              <w:t xml:space="preserve"> updated at WRC</w:t>
            </w:r>
            <w:r w:rsidRPr="002C2BBD">
              <w:noBreakHyphen/>
              <w:t xml:space="preserve">03 </w:t>
            </w:r>
            <w:r>
              <w:rPr>
                <w:rFonts w:hint="eastAsia"/>
                <w:lang w:eastAsia="ja-JP"/>
              </w:rPr>
              <w:t>s</w:t>
            </w:r>
            <w:r w:rsidRPr="002C2BBD">
              <w:t>upported by ITU-R studies.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7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  <w:rPr>
                <w:lang w:eastAsia="ja-JP"/>
              </w:rPr>
            </w:pPr>
            <w:r w:rsidRPr="002C2BBD">
              <w:t>National radio-frequency management</w:t>
            </w:r>
          </w:p>
        </w:tc>
        <w:tc>
          <w:tcPr>
            <w:tcW w:w="7223" w:type="dxa"/>
          </w:tcPr>
          <w:p w:rsidR="00DD3B31" w:rsidRPr="002207DE" w:rsidRDefault="00DD3B31" w:rsidP="0017209B">
            <w:pPr>
              <w:pStyle w:val="Tabletext"/>
              <w:rPr>
                <w:rStyle w:val="FootnoteReference"/>
                <w:bCs/>
                <w:szCs w:val="22"/>
                <w:lang w:eastAsia="ja-JP"/>
              </w:rPr>
            </w:pPr>
            <w:r w:rsidRPr="002207DE">
              <w:rPr>
                <w:bCs/>
              </w:rPr>
              <w:t xml:space="preserve">Still relevant; text </w:t>
            </w:r>
            <w:r>
              <w:rPr>
                <w:rFonts w:hint="eastAsia"/>
                <w:bCs/>
                <w:lang w:eastAsia="ja-JP"/>
              </w:rPr>
              <w:t>was</w:t>
            </w:r>
            <w:r w:rsidRPr="002207DE">
              <w:rPr>
                <w:bCs/>
              </w:rPr>
              <w:t xml:space="preserve"> updated at WRC</w:t>
            </w:r>
            <w:r w:rsidRPr="002207DE">
              <w:rPr>
                <w:bCs/>
              </w:rPr>
              <w:noBreakHyphen/>
              <w:t xml:space="preserve">03 </w:t>
            </w:r>
            <w:r w:rsidRPr="002207DE">
              <w:rPr>
                <w:bCs/>
                <w:lang w:eastAsia="ja-JP"/>
              </w:rPr>
              <w:t>s</w:t>
            </w:r>
            <w:r w:rsidRPr="002207DE">
              <w:rPr>
                <w:bCs/>
              </w:rPr>
              <w:t>upported by BR and ITU-R studies with respect to spectrum management systems for developing countries.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10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2C2BBD">
              <w:t>Wireless communications by the International Red Cross and Red Crescent Movement</w:t>
            </w:r>
          </w:p>
        </w:tc>
        <w:tc>
          <w:tcPr>
            <w:tcW w:w="7223" w:type="dxa"/>
          </w:tcPr>
          <w:p w:rsidR="00DD3B31" w:rsidRPr="002C2BBD" w:rsidRDefault="00DD3B31" w:rsidP="0017209B">
            <w:pPr>
              <w:pStyle w:val="Tabletext"/>
              <w:rPr>
                <w:rStyle w:val="FootnoteReference"/>
                <w:color w:val="000000"/>
              </w:rPr>
            </w:pPr>
            <w:r w:rsidRPr="002C2BBD">
              <w:t>Still relevant.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D9D9D9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11</w:t>
            </w:r>
          </w:p>
        </w:tc>
        <w:tc>
          <w:tcPr>
            <w:tcW w:w="4395" w:type="dxa"/>
            <w:shd w:val="clear" w:color="auto" w:fill="D9D9D9"/>
          </w:tcPr>
          <w:p w:rsidR="00DD3B31" w:rsidRPr="004E5DFF" w:rsidRDefault="00DD3B31" w:rsidP="0017209B">
            <w:pPr>
              <w:pStyle w:val="Tabletext"/>
            </w:pPr>
            <w:r w:rsidRPr="004E5DFF">
              <w:t>Use of satellite orbital positions and associated frequency spectrum to deliver international public telecommunication services in developing countries</w:t>
            </w:r>
          </w:p>
        </w:tc>
        <w:tc>
          <w:tcPr>
            <w:tcW w:w="7223" w:type="dxa"/>
            <w:shd w:val="clear" w:color="auto" w:fill="D9D9D9"/>
          </w:tcPr>
          <w:p w:rsidR="00DD3B31" w:rsidRPr="004E5DFF" w:rsidRDefault="00DD3B31" w:rsidP="0017209B">
            <w:pPr>
              <w:pStyle w:val="Tabletext"/>
              <w:rPr>
                <w:lang w:eastAsia="ja-JP"/>
              </w:rPr>
            </w:pPr>
            <w:r w:rsidRPr="00752BA2">
              <w:rPr>
                <w:szCs w:val="22"/>
              </w:rPr>
              <w:t xml:space="preserve"> 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</w:t>
            </w:r>
            <w:r>
              <w:rPr>
                <w:rFonts w:hint="eastAsia"/>
                <w:b/>
                <w:szCs w:val="22"/>
                <w:lang w:eastAsia="ja-JP"/>
              </w:rPr>
              <w:t>9</w:t>
            </w:r>
            <w:r w:rsidRPr="00752BA2">
              <w:rPr>
                <w:b/>
                <w:szCs w:val="22"/>
              </w:rPr>
              <w:t>.</w:t>
            </w:r>
            <w:r>
              <w:rPr>
                <w:rFonts w:hint="eastAsia"/>
                <w:b/>
                <w:szCs w:val="22"/>
                <w:lang w:eastAsia="ja-JP"/>
              </w:rPr>
              <w:t>1.3</w:t>
            </w:r>
            <w:r w:rsidRPr="00752BA2">
              <w:rPr>
                <w:b/>
                <w:szCs w:val="22"/>
                <w:lang w:eastAsia="ja-JP"/>
              </w:rPr>
              <w:t>)</w:t>
            </w:r>
            <w:r>
              <w:rPr>
                <w:rFonts w:hint="eastAsia"/>
                <w:b/>
                <w:szCs w:val="22"/>
                <w:lang w:eastAsia="ja-JP"/>
              </w:rPr>
              <w:t>.</w:t>
            </w:r>
          </w:p>
        </w:tc>
        <w:tc>
          <w:tcPr>
            <w:tcW w:w="1088" w:type="dxa"/>
            <w:shd w:val="clear" w:color="auto" w:fill="D9D9D9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D9D9D9"/>
          </w:tcPr>
          <w:p w:rsidR="00DD3B31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DD3B31" w:rsidRPr="004E5DFF" w:rsidRDefault="00DD3B31" w:rsidP="0017209B">
            <w:pPr>
              <w:pStyle w:val="Tabletext"/>
            </w:pPr>
            <w:r w:rsidRPr="004E5DFF">
              <w:t>Assistance and support to Palestine</w:t>
            </w:r>
          </w:p>
        </w:tc>
        <w:tc>
          <w:tcPr>
            <w:tcW w:w="7223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jc w:val="center"/>
            </w:pPr>
            <w:r w:rsidRPr="004E5DFF">
              <w:t>–</w:t>
            </w:r>
          </w:p>
        </w:tc>
        <w:tc>
          <w:tcPr>
            <w:tcW w:w="1088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13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2C2BBD">
              <w:t>Formation of call signs</w:t>
            </w:r>
          </w:p>
        </w:tc>
        <w:tc>
          <w:tcPr>
            <w:tcW w:w="7223" w:type="dxa"/>
          </w:tcPr>
          <w:p w:rsidR="00DD3B31" w:rsidRPr="002C2BBD" w:rsidRDefault="00DD3B31" w:rsidP="0017209B">
            <w:pPr>
              <w:pStyle w:val="Tabletext"/>
              <w:rPr>
                <w:rStyle w:val="FootnoteReference"/>
                <w:color w:val="000000"/>
              </w:rPr>
            </w:pPr>
            <w:r w:rsidRPr="002207DE">
              <w:rPr>
                <w:bCs/>
              </w:rPr>
              <w:t>Still relevant.</w:t>
            </w:r>
            <w:r w:rsidRPr="002207DE">
              <w:rPr>
                <w:bCs/>
                <w:lang w:eastAsia="ja-JP"/>
              </w:rPr>
              <w:t xml:space="preserve"> This Resolution is referred to in No. </w:t>
            </w:r>
            <w:r w:rsidRPr="00CA192C">
              <w:rPr>
                <w:b/>
                <w:bCs/>
                <w:lang w:eastAsia="ja-JP"/>
              </w:rPr>
              <w:t>19.32</w:t>
            </w:r>
            <w:r w:rsidRPr="002207DE">
              <w:rPr>
                <w:bCs/>
                <w:lang w:eastAsia="ja-JP"/>
              </w:rPr>
              <w:t>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15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686E4E">
              <w:rPr>
                <w:bCs/>
                <w:lang w:eastAsia="ja-JP"/>
              </w:rPr>
              <w:t>International c</w:t>
            </w:r>
            <w:r w:rsidRPr="00686E4E">
              <w:rPr>
                <w:bCs/>
              </w:rPr>
              <w:t xml:space="preserve">ooperation in space </w:t>
            </w:r>
            <w:proofErr w:type="spellStart"/>
            <w:r w:rsidRPr="00686E4E">
              <w:rPr>
                <w:bCs/>
              </w:rPr>
              <w:t>radiocommunications</w:t>
            </w:r>
            <w:proofErr w:type="spellEnd"/>
          </w:p>
        </w:tc>
        <w:tc>
          <w:tcPr>
            <w:tcW w:w="7223" w:type="dxa"/>
          </w:tcPr>
          <w:p w:rsidR="00DD3B31" w:rsidRPr="009F5195" w:rsidRDefault="00DD3B31" w:rsidP="0017209B">
            <w:pPr>
              <w:pStyle w:val="Tabletext"/>
              <w:rPr>
                <w:rStyle w:val="FootnoteReference"/>
                <w:lang w:eastAsia="ja-JP"/>
              </w:rPr>
            </w:pPr>
            <w:r w:rsidRPr="002C2BBD">
              <w:t xml:space="preserve">Still relevant; text </w:t>
            </w:r>
            <w:proofErr w:type="spellStart"/>
            <w:r>
              <w:rPr>
                <w:rFonts w:hint="eastAsia"/>
                <w:lang w:eastAsia="ja-JP"/>
              </w:rPr>
              <w:t>was</w:t>
            </w:r>
            <w:r w:rsidRPr="002C2BBD">
              <w:t>updated</w:t>
            </w:r>
            <w:proofErr w:type="spellEnd"/>
            <w:r w:rsidRPr="002C2BBD">
              <w:t xml:space="preserve"> at WRC</w:t>
            </w:r>
            <w:r w:rsidRPr="002C2BBD">
              <w:noBreakHyphen/>
              <w:t xml:space="preserve">03. Implemented through liaison with ITU-D Study Groups and BR/BDT seminars. 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trHeight w:val="499"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lastRenderedPageBreak/>
              <w:t>18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  <w:rPr>
                <w:lang w:eastAsia="ja-JP"/>
              </w:rPr>
            </w:pPr>
            <w:r w:rsidRPr="00686E4E">
              <w:rPr>
                <w:bCs/>
                <w:lang w:eastAsia="ja-JP"/>
              </w:rPr>
              <w:t>Procedure for i</w:t>
            </w:r>
            <w:r w:rsidRPr="00686E4E">
              <w:rPr>
                <w:bCs/>
              </w:rPr>
              <w:t>dentification</w:t>
            </w:r>
            <w:r w:rsidRPr="00686E4E">
              <w:rPr>
                <w:bCs/>
                <w:lang w:eastAsia="ja-JP"/>
              </w:rPr>
              <w:t xml:space="preserve"> of position of ships and aircraft of </w:t>
            </w:r>
            <w:r w:rsidRPr="00686E4E">
              <w:rPr>
                <w:bCs/>
              </w:rPr>
              <w:t>non-parties in an armed conflict</w:t>
            </w:r>
          </w:p>
        </w:tc>
        <w:tc>
          <w:tcPr>
            <w:tcW w:w="7223" w:type="dxa"/>
          </w:tcPr>
          <w:p w:rsidR="00DD3B31" w:rsidRPr="002C2BBD" w:rsidRDefault="00DD3B31" w:rsidP="0017209B">
            <w:pPr>
              <w:pStyle w:val="Tabletext"/>
              <w:rPr>
                <w:rStyle w:val="FootnoteReference"/>
                <w:color w:val="000000"/>
              </w:rPr>
            </w:pPr>
            <w:r w:rsidRPr="002207DE">
              <w:rPr>
                <w:bCs/>
                <w:lang w:eastAsia="ja-JP"/>
              </w:rPr>
              <w:t xml:space="preserve">The ITU-R studies requested in this Resolution have made fair progress by revising </w:t>
            </w:r>
            <w:r w:rsidRPr="002207DE">
              <w:rPr>
                <w:bCs/>
                <w:color w:val="000000"/>
                <w:lang w:eastAsia="ja-JP"/>
              </w:rPr>
              <w:t>two ITU-R Recommendations, i.e. M.493 and M.1371, therefore “requests ITU-R” may be reviewed or suppressed. However this Resolution is still useful for voice communication procedures.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20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686E4E">
              <w:rPr>
                <w:bCs/>
              </w:rPr>
              <w:t>Technical cooperation</w:t>
            </w:r>
            <w:r w:rsidRPr="00686E4E">
              <w:rPr>
                <w:bCs/>
                <w:lang w:eastAsia="ja-JP"/>
              </w:rPr>
              <w:t xml:space="preserve"> with developing countries</w:t>
            </w:r>
            <w:r w:rsidRPr="00686E4E">
              <w:rPr>
                <w:bCs/>
              </w:rPr>
              <w:t xml:space="preserve"> – Aeronautical </w:t>
            </w:r>
            <w:r w:rsidRPr="00686E4E">
              <w:rPr>
                <w:bCs/>
                <w:lang w:eastAsia="ja-JP"/>
              </w:rPr>
              <w:t>telecommunications</w:t>
            </w:r>
          </w:p>
        </w:tc>
        <w:tc>
          <w:tcPr>
            <w:tcW w:w="7223" w:type="dxa"/>
          </w:tcPr>
          <w:p w:rsidR="00DD3B31" w:rsidRPr="002C2BBD" w:rsidRDefault="00DD3B31" w:rsidP="0017209B">
            <w:pPr>
              <w:pStyle w:val="Tabletext"/>
              <w:rPr>
                <w:rStyle w:val="FootnoteReference"/>
                <w:color w:val="000000"/>
              </w:rPr>
            </w:pPr>
            <w:r w:rsidRPr="002207DE">
              <w:rPr>
                <w:bCs/>
              </w:rPr>
              <w:t xml:space="preserve">Still relevant; text </w:t>
            </w:r>
            <w:proofErr w:type="spellStart"/>
            <w:r>
              <w:rPr>
                <w:rFonts w:hint="eastAsia"/>
                <w:bCs/>
                <w:lang w:eastAsia="ja-JP"/>
              </w:rPr>
              <w:t>was</w:t>
            </w:r>
            <w:r w:rsidRPr="002207DE">
              <w:rPr>
                <w:bCs/>
              </w:rPr>
              <w:t>updated</w:t>
            </w:r>
            <w:proofErr w:type="spellEnd"/>
            <w:r>
              <w:rPr>
                <w:rFonts w:hint="eastAsia"/>
                <w:bCs/>
                <w:lang w:eastAsia="ja-JP"/>
              </w:rPr>
              <w:t xml:space="preserve"> at WRC-03</w:t>
            </w:r>
            <w:r w:rsidRPr="002207DE">
              <w:rPr>
                <w:bCs/>
              </w:rPr>
              <w:t>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25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2C2BBD">
              <w:t>Operation of Global Satellite Systems for personnel communications</w:t>
            </w:r>
          </w:p>
        </w:tc>
        <w:tc>
          <w:tcPr>
            <w:tcW w:w="7223" w:type="dxa"/>
          </w:tcPr>
          <w:p w:rsidR="00DD3B31" w:rsidRPr="002C2BBD" w:rsidRDefault="00DD3B31" w:rsidP="0017209B">
            <w:pPr>
              <w:pStyle w:val="Tabletext"/>
              <w:rPr>
                <w:rStyle w:val="FootnoteReference"/>
                <w:color w:val="000000"/>
                <w:lang w:eastAsia="ja-JP"/>
              </w:rPr>
            </w:pPr>
            <w:r w:rsidRPr="002C2BBD">
              <w:t>Still relevant</w:t>
            </w:r>
            <w:r>
              <w:rPr>
                <w:rFonts w:hint="eastAsia"/>
                <w:lang w:eastAsia="ja-JP"/>
              </w:rPr>
              <w:t>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BFBFBF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26</w:t>
            </w:r>
          </w:p>
        </w:tc>
        <w:tc>
          <w:tcPr>
            <w:tcW w:w="4395" w:type="dxa"/>
            <w:shd w:val="clear" w:color="auto" w:fill="BFBFBF"/>
          </w:tcPr>
          <w:p w:rsidR="00DD3B31" w:rsidRPr="002C2BBD" w:rsidRDefault="00DD3B31" w:rsidP="0017209B">
            <w:pPr>
              <w:pStyle w:val="Tabletext"/>
            </w:pPr>
            <w:r w:rsidRPr="002C2BBD">
              <w:t>Review of footnotes</w:t>
            </w:r>
          </w:p>
        </w:tc>
        <w:tc>
          <w:tcPr>
            <w:tcW w:w="7223" w:type="dxa"/>
            <w:shd w:val="clear" w:color="auto" w:fill="BFBFBF"/>
          </w:tcPr>
          <w:p w:rsidR="00DD3B31" w:rsidRDefault="00DD3B31" w:rsidP="0017209B">
            <w:pPr>
              <w:pStyle w:val="Tabletext"/>
              <w:rPr>
                <w:lang w:eastAsia="ja-JP"/>
              </w:rPr>
            </w:pPr>
            <w:r w:rsidRPr="002C2BBD">
              <w:t>For consideration by WRC-</w:t>
            </w:r>
            <w:r>
              <w:rPr>
                <w:rFonts w:hint="eastAsia"/>
                <w:lang w:eastAsia="ja-JP"/>
              </w:rPr>
              <w:t>15 (</w:t>
            </w:r>
            <w:r>
              <w:rPr>
                <w:b/>
              </w:rPr>
              <w:t>Agenda item </w:t>
            </w:r>
            <w:r>
              <w:rPr>
                <w:rFonts w:hint="eastAsia"/>
                <w:b/>
                <w:lang w:eastAsia="ja-JP"/>
              </w:rPr>
              <w:t>8)</w:t>
            </w:r>
            <w:r w:rsidRPr="002C2BBD">
              <w:t xml:space="preserve">. </w:t>
            </w:r>
          </w:p>
          <w:p w:rsidR="00DD3B31" w:rsidRPr="00581027" w:rsidRDefault="00DD3B31" w:rsidP="0017209B">
            <w:pPr>
              <w:pStyle w:val="Tabletext"/>
              <w:rPr>
                <w:rStyle w:val="FootnoteReference"/>
                <w:lang w:eastAsia="ja-JP"/>
              </w:rPr>
            </w:pPr>
            <w:r w:rsidRPr="002207DE">
              <w:rPr>
                <w:bCs/>
              </w:rPr>
              <w:t>Still relevant (permanent agenda item at each WRC).</w:t>
            </w:r>
          </w:p>
        </w:tc>
        <w:tc>
          <w:tcPr>
            <w:tcW w:w="1088" w:type="dxa"/>
            <w:shd w:val="clear" w:color="auto" w:fill="BFBFBF"/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2C2BBD">
              <w:t>NOC</w:t>
            </w:r>
          </w:p>
        </w:tc>
        <w:tc>
          <w:tcPr>
            <w:tcW w:w="1088" w:type="dxa"/>
            <w:shd w:val="clear" w:color="auto" w:fill="BFBFBF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trHeight w:val="1110"/>
          <w:jc w:val="center"/>
        </w:trPr>
        <w:tc>
          <w:tcPr>
            <w:tcW w:w="971" w:type="dxa"/>
            <w:shd w:val="clear" w:color="auto" w:fill="BFBFBF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27</w:t>
            </w:r>
          </w:p>
        </w:tc>
        <w:tc>
          <w:tcPr>
            <w:tcW w:w="4395" w:type="dxa"/>
            <w:shd w:val="clear" w:color="auto" w:fill="BFBFBF"/>
          </w:tcPr>
          <w:p w:rsidR="00DD3B31" w:rsidRPr="002C2BBD" w:rsidRDefault="00DD3B31" w:rsidP="0017209B">
            <w:pPr>
              <w:pStyle w:val="Tabletext"/>
            </w:pPr>
            <w:r w:rsidRPr="002C2BBD">
              <w:t>Incorporation by reference/principles</w:t>
            </w:r>
          </w:p>
        </w:tc>
        <w:tc>
          <w:tcPr>
            <w:tcW w:w="7223" w:type="dxa"/>
            <w:shd w:val="clear" w:color="auto" w:fill="BFBFBF"/>
          </w:tcPr>
          <w:p w:rsidR="00DD3B31" w:rsidRDefault="00DD3B31" w:rsidP="0017209B">
            <w:pPr>
              <w:pStyle w:val="Tabletext"/>
              <w:rPr>
                <w:lang w:eastAsia="ja-JP"/>
              </w:rPr>
            </w:pPr>
            <w:r w:rsidRPr="002C2BBD">
              <w:t>For consideration by WRC-</w:t>
            </w:r>
            <w:r>
              <w:rPr>
                <w:rFonts w:hint="eastAsia"/>
                <w:lang w:eastAsia="ja-JP"/>
              </w:rPr>
              <w:t>15 (</w:t>
            </w:r>
            <w:r>
              <w:rPr>
                <w:b/>
              </w:rPr>
              <w:t>Agenda item </w:t>
            </w:r>
            <w:r>
              <w:rPr>
                <w:rFonts w:hint="eastAsia"/>
                <w:b/>
                <w:lang w:eastAsia="ja-JP"/>
              </w:rPr>
              <w:t>2)</w:t>
            </w:r>
            <w:r>
              <w:rPr>
                <w:rFonts w:hint="eastAsia"/>
                <w:lang w:eastAsia="ja-JP"/>
              </w:rPr>
              <w:t>.</w:t>
            </w:r>
          </w:p>
          <w:p w:rsidR="00DD3B31" w:rsidRPr="00581027" w:rsidRDefault="00DD3B31" w:rsidP="0017209B">
            <w:pPr>
              <w:pStyle w:val="Tabletext"/>
              <w:rPr>
                <w:lang w:eastAsia="ja-JP"/>
              </w:rPr>
            </w:pPr>
            <w:r w:rsidRPr="002207DE">
              <w:rPr>
                <w:bCs/>
              </w:rPr>
              <w:t>Still relevant (permanent agenda item at each WRC).</w:t>
            </w:r>
          </w:p>
          <w:p w:rsidR="00DD3B31" w:rsidRPr="002C2BBD" w:rsidRDefault="00DD3B31" w:rsidP="0017209B">
            <w:pPr>
              <w:pStyle w:val="Tabletext"/>
              <w:rPr>
                <w:rStyle w:val="FootnoteReference"/>
                <w:color w:val="000000"/>
                <w:lang w:eastAsia="ja-JP"/>
              </w:rPr>
            </w:pPr>
            <w:r w:rsidRPr="002207DE">
              <w:rPr>
                <w:bCs/>
                <w:lang w:eastAsia="ja-JP"/>
              </w:rPr>
              <w:t xml:space="preserve">Modifications are proposed to address the addition of a cross-reference Table to RR Volume 4 (see </w:t>
            </w:r>
            <w:r w:rsidRPr="002207DE">
              <w:rPr>
                <w:bCs/>
              </w:rPr>
              <w:t>ASP/</w:t>
            </w:r>
            <w:r w:rsidRPr="002207DE">
              <w:rPr>
                <w:bCs/>
                <w:lang w:eastAsia="ja-JP"/>
              </w:rPr>
              <w:t>2</w:t>
            </w:r>
            <w:r w:rsidRPr="002207DE">
              <w:rPr>
                <w:bCs/>
              </w:rPr>
              <w:t>6A26/8 under WRC-</w:t>
            </w:r>
            <w:r w:rsidRPr="002207DE">
              <w:rPr>
                <w:bCs/>
                <w:lang w:eastAsia="ja-JP"/>
              </w:rPr>
              <w:t>12</w:t>
            </w:r>
            <w:r w:rsidRPr="002207DE">
              <w:rPr>
                <w:bCs/>
              </w:rPr>
              <w:t xml:space="preserve"> Agenda item </w:t>
            </w:r>
            <w:r w:rsidRPr="002207DE">
              <w:rPr>
                <w:bCs/>
                <w:lang w:eastAsia="ja-JP"/>
              </w:rPr>
              <w:t>2).</w:t>
            </w:r>
            <w:r>
              <w:rPr>
                <w:rFonts w:hint="eastAsia"/>
                <w:bCs/>
                <w:lang w:eastAsia="ja-JP"/>
              </w:rPr>
              <w:t xml:space="preserve"> (This has been already reflected on RR 2012 edition.)</w:t>
            </w:r>
          </w:p>
        </w:tc>
        <w:tc>
          <w:tcPr>
            <w:tcW w:w="1088" w:type="dxa"/>
            <w:shd w:val="clear" w:color="auto" w:fill="BFBFBF"/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  <w:shd w:val="clear" w:color="auto" w:fill="BFBFBF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trHeight w:val="1365"/>
          <w:jc w:val="center"/>
        </w:trPr>
        <w:tc>
          <w:tcPr>
            <w:tcW w:w="971" w:type="dxa"/>
            <w:shd w:val="clear" w:color="auto" w:fill="BFBFBF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28</w:t>
            </w:r>
          </w:p>
        </w:tc>
        <w:tc>
          <w:tcPr>
            <w:tcW w:w="4395" w:type="dxa"/>
            <w:shd w:val="clear" w:color="auto" w:fill="BFBFBF"/>
          </w:tcPr>
          <w:p w:rsidR="00DD3B31" w:rsidRPr="002C2BBD" w:rsidRDefault="00DD3B31" w:rsidP="0017209B">
            <w:pPr>
              <w:pStyle w:val="Tabletext"/>
            </w:pPr>
            <w:r w:rsidRPr="00686E4E">
              <w:rPr>
                <w:bCs/>
              </w:rPr>
              <w:t>Revision of references to ITU-R Recommendations incorporated by reference in the Radio Regulations</w:t>
            </w:r>
          </w:p>
        </w:tc>
        <w:tc>
          <w:tcPr>
            <w:tcW w:w="7223" w:type="dxa"/>
            <w:shd w:val="clear" w:color="auto" w:fill="BFBFBF"/>
          </w:tcPr>
          <w:p w:rsidR="00DD3B31" w:rsidRDefault="00DD3B31" w:rsidP="0017209B">
            <w:pPr>
              <w:pStyle w:val="Tabletext"/>
              <w:rPr>
                <w:bCs/>
                <w:lang w:eastAsia="ja-JP"/>
              </w:rPr>
            </w:pPr>
            <w:r w:rsidRPr="002C2BBD">
              <w:t>For consideration by WRC-</w:t>
            </w:r>
            <w:r>
              <w:rPr>
                <w:rFonts w:hint="eastAsia"/>
                <w:lang w:eastAsia="ja-JP"/>
              </w:rPr>
              <w:t>15 (</w:t>
            </w:r>
            <w:r>
              <w:rPr>
                <w:b/>
              </w:rPr>
              <w:t>Agenda item </w:t>
            </w:r>
            <w:r>
              <w:rPr>
                <w:rFonts w:hint="eastAsia"/>
                <w:b/>
                <w:lang w:eastAsia="ja-JP"/>
              </w:rPr>
              <w:t>2)</w:t>
            </w:r>
            <w:r w:rsidRPr="002C2BBD">
              <w:rPr>
                <w:bCs/>
              </w:rPr>
              <w:t>.</w:t>
            </w:r>
          </w:p>
          <w:p w:rsidR="00DD3B31" w:rsidRPr="002C2BBD" w:rsidRDefault="00DD3B31" w:rsidP="0017209B">
            <w:pPr>
              <w:pStyle w:val="Tabletext"/>
              <w:rPr>
                <w:rStyle w:val="FootnoteReference"/>
                <w:color w:val="000000"/>
                <w:lang w:eastAsia="ja-JP"/>
              </w:rPr>
            </w:pPr>
            <w:r w:rsidRPr="002207DE">
              <w:rPr>
                <w:bCs/>
              </w:rPr>
              <w:t>Still relevant (permanent agenda item at each WRC); linked with Resolution 27.</w:t>
            </w:r>
          </w:p>
        </w:tc>
        <w:tc>
          <w:tcPr>
            <w:tcW w:w="1088" w:type="dxa"/>
            <w:shd w:val="clear" w:color="auto" w:fill="BFBFBF"/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NOC</w:t>
            </w:r>
          </w:p>
        </w:tc>
        <w:tc>
          <w:tcPr>
            <w:tcW w:w="1088" w:type="dxa"/>
            <w:shd w:val="clear" w:color="auto" w:fill="BFBFBF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trHeight w:val="840"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33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2C2BBD">
              <w:t>Procedure for BSS prior to the entry into force of agreements and plans for the BSS</w:t>
            </w:r>
          </w:p>
        </w:tc>
        <w:tc>
          <w:tcPr>
            <w:tcW w:w="7223" w:type="dxa"/>
          </w:tcPr>
          <w:p w:rsidR="00DD3B31" w:rsidRPr="005504E8" w:rsidRDefault="00DD3B31" w:rsidP="0017209B">
            <w:pPr>
              <w:pStyle w:val="Tabletext"/>
              <w:rPr>
                <w:rStyle w:val="FootnoteReference"/>
                <w:lang w:eastAsia="ja-JP"/>
              </w:rPr>
            </w:pPr>
            <w:r w:rsidRPr="002207DE">
              <w:rPr>
                <w:bCs/>
                <w:lang w:eastAsia="ja-JP"/>
              </w:rPr>
              <w:t xml:space="preserve">CPM Report </w:t>
            </w:r>
            <w:r>
              <w:rPr>
                <w:rFonts w:hint="eastAsia"/>
                <w:bCs/>
                <w:lang w:eastAsia="ja-JP"/>
              </w:rPr>
              <w:t xml:space="preserve">to WRC-12 </w:t>
            </w:r>
            <w:r w:rsidRPr="002207DE">
              <w:rPr>
                <w:bCs/>
                <w:lang w:eastAsia="ja-JP"/>
              </w:rPr>
              <w:t>suggested that this Resolution could be suppressed with the reason that the processing of filings under this Resolution completed before WRC-07. The follow-up coordination, however, may still be needed. It should be noted that this Resolution is referred to in No.</w:t>
            </w:r>
            <w:r w:rsidRPr="009504D9">
              <w:rPr>
                <w:b/>
                <w:bCs/>
                <w:lang w:eastAsia="ja-JP"/>
              </w:rPr>
              <w:t xml:space="preserve"> 5.396A</w:t>
            </w:r>
            <w:r w:rsidRPr="002207DE">
              <w:rPr>
                <w:bCs/>
                <w:lang w:eastAsia="ja-JP"/>
              </w:rPr>
              <w:t xml:space="preserve"> and some other provisions.</w:t>
            </w:r>
          </w:p>
        </w:tc>
        <w:tc>
          <w:tcPr>
            <w:tcW w:w="1088" w:type="dxa"/>
            <w:shd w:val="clear" w:color="auto" w:fill="auto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2C2BBD">
              <w:t xml:space="preserve">NOC </w:t>
            </w:r>
          </w:p>
          <w:p w:rsidR="00DD3B31" w:rsidRPr="002C2BBD" w:rsidRDefault="00DD3B31" w:rsidP="0017209B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trHeight w:val="420"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34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686E4E">
              <w:rPr>
                <w:bCs/>
                <w:lang w:eastAsia="ja-JP"/>
              </w:rPr>
              <w:t>Establishment of BSS in Region 3 in</w:t>
            </w:r>
            <w:r w:rsidRPr="00686E4E">
              <w:rPr>
                <w:bCs/>
              </w:rPr>
              <w:t xml:space="preserve"> the band 12.5-12.75 GHz </w:t>
            </w:r>
            <w:r w:rsidRPr="00686E4E">
              <w:rPr>
                <w:bCs/>
                <w:lang w:eastAsia="ja-JP"/>
              </w:rPr>
              <w:t>and sharing with other services in Regions 1, 2, and 3</w:t>
            </w:r>
          </w:p>
        </w:tc>
        <w:tc>
          <w:tcPr>
            <w:tcW w:w="7223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rPr>
                <w:rStyle w:val="FootnoteReference"/>
                <w:color w:val="000000"/>
                <w:lang w:eastAsia="ja-JP"/>
              </w:rPr>
            </w:pPr>
            <w:r w:rsidRPr="002207DE">
              <w:rPr>
                <w:bCs/>
                <w:lang w:eastAsia="ja-JP"/>
              </w:rPr>
              <w:t xml:space="preserve">Still relevant. The substance of this Resolution relates to Resolution </w:t>
            </w:r>
            <w:r w:rsidRPr="007354B1">
              <w:rPr>
                <w:b/>
                <w:bCs/>
                <w:lang w:eastAsia="ja-JP"/>
              </w:rPr>
              <w:t>33</w:t>
            </w:r>
            <w:r w:rsidRPr="002207DE">
              <w:rPr>
                <w:bCs/>
                <w:lang w:eastAsia="ja-JP"/>
              </w:rPr>
              <w:t xml:space="preserve"> (</w:t>
            </w:r>
            <w:r w:rsidRPr="009504D9">
              <w:rPr>
                <w:b/>
                <w:bCs/>
                <w:lang w:eastAsia="ja-JP"/>
              </w:rPr>
              <w:t>Rev.WRC-03</w:t>
            </w:r>
            <w:r w:rsidRPr="002207DE">
              <w:rPr>
                <w:bCs/>
                <w:lang w:eastAsia="ja-JP"/>
              </w:rPr>
              <w:t>).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lastRenderedPageBreak/>
              <w:t>42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2C2BBD">
              <w:t>Interim systems in R2 (BSS and FSS) in AP30/30A bands</w:t>
            </w:r>
          </w:p>
        </w:tc>
        <w:tc>
          <w:tcPr>
            <w:tcW w:w="7223" w:type="dxa"/>
          </w:tcPr>
          <w:p w:rsidR="00DD3B31" w:rsidRPr="002C2BBD" w:rsidRDefault="00DD3B31" w:rsidP="0017209B">
            <w:pPr>
              <w:pStyle w:val="Tabletext"/>
              <w:rPr>
                <w:rStyle w:val="FootnoteReference"/>
                <w:color w:val="000000"/>
              </w:rPr>
            </w:pPr>
            <w:r w:rsidRPr="002207DE">
              <w:rPr>
                <w:bCs/>
              </w:rPr>
              <w:t xml:space="preserve">Still relevant; text </w:t>
            </w:r>
            <w:proofErr w:type="spellStart"/>
            <w:r>
              <w:rPr>
                <w:rFonts w:hint="eastAsia"/>
                <w:bCs/>
                <w:lang w:eastAsia="ja-JP"/>
              </w:rPr>
              <w:t>was</w:t>
            </w:r>
            <w:r w:rsidRPr="002207DE">
              <w:rPr>
                <w:bCs/>
              </w:rPr>
              <w:t>updated</w:t>
            </w:r>
            <w:proofErr w:type="spellEnd"/>
            <w:r>
              <w:rPr>
                <w:rFonts w:hint="eastAsia"/>
                <w:bCs/>
                <w:lang w:eastAsia="ja-JP"/>
              </w:rPr>
              <w:t xml:space="preserve"> at WRC-03</w:t>
            </w:r>
            <w:r w:rsidRPr="002207DE">
              <w:rPr>
                <w:bCs/>
              </w:rPr>
              <w:t>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49</w:t>
            </w:r>
          </w:p>
        </w:tc>
        <w:tc>
          <w:tcPr>
            <w:tcW w:w="4395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rPr>
                <w:lang w:eastAsia="ja-JP"/>
              </w:rPr>
            </w:pPr>
            <w:r w:rsidRPr="002C2BBD">
              <w:t>Administrative due diligence</w:t>
            </w:r>
            <w:r>
              <w:rPr>
                <w:rFonts w:hint="eastAsia"/>
                <w:lang w:eastAsia="ja-JP"/>
              </w:rPr>
              <w:t xml:space="preserve"> applicable to some satellite radiocommunication services</w:t>
            </w:r>
          </w:p>
        </w:tc>
        <w:tc>
          <w:tcPr>
            <w:tcW w:w="7223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rPr>
                <w:rStyle w:val="FootnoteReference"/>
                <w:color w:val="000000"/>
                <w:highlight w:val="yellow"/>
              </w:rPr>
            </w:pPr>
            <w:r w:rsidRPr="002207DE">
              <w:rPr>
                <w:bCs/>
                <w:lang w:eastAsia="ja-JP"/>
              </w:rPr>
              <w:t xml:space="preserve">Still </w:t>
            </w:r>
            <w:proofErr w:type="gramStart"/>
            <w:r w:rsidRPr="002207DE">
              <w:rPr>
                <w:bCs/>
                <w:lang w:eastAsia="ja-JP"/>
              </w:rPr>
              <w:t>relevant(</w:t>
            </w:r>
            <w:proofErr w:type="gramEnd"/>
            <w:r w:rsidRPr="002207DE">
              <w:rPr>
                <w:bCs/>
                <w:lang w:eastAsia="ja-JP"/>
              </w:rPr>
              <w:t xml:space="preserve">see </w:t>
            </w:r>
            <w:r w:rsidRPr="002207DE">
              <w:rPr>
                <w:bCs/>
              </w:rPr>
              <w:t>ASP/26A28/25 under WRC-</w:t>
            </w:r>
            <w:r w:rsidRPr="002207DE">
              <w:rPr>
                <w:bCs/>
                <w:lang w:eastAsia="ja-JP"/>
              </w:rPr>
              <w:t>12</w:t>
            </w:r>
            <w:r w:rsidRPr="002207DE">
              <w:rPr>
                <w:bCs/>
              </w:rPr>
              <w:t xml:space="preserve"> Agenda item </w:t>
            </w:r>
            <w:r w:rsidRPr="002207DE">
              <w:rPr>
                <w:bCs/>
                <w:lang w:eastAsia="ja-JP"/>
              </w:rPr>
              <w:t>7)</w:t>
            </w:r>
            <w:r>
              <w:rPr>
                <w:bCs/>
                <w:lang w:eastAsia="ja-JP"/>
              </w:rPr>
              <w:t>.</w:t>
            </w:r>
          </w:p>
        </w:tc>
        <w:tc>
          <w:tcPr>
            <w:tcW w:w="1088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  <w:rPr>
                <w:highlight w:val="yellow"/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1C0795" w:rsidTr="0017209B">
        <w:trPr>
          <w:cantSplit/>
          <w:jc w:val="center"/>
        </w:trPr>
        <w:tc>
          <w:tcPr>
            <w:tcW w:w="971" w:type="dxa"/>
          </w:tcPr>
          <w:p w:rsidR="00DD3B31" w:rsidRPr="002C5897" w:rsidRDefault="00DD3B31" w:rsidP="0017209B">
            <w:pPr>
              <w:pStyle w:val="Tabletext"/>
              <w:jc w:val="center"/>
            </w:pPr>
            <w:r w:rsidRPr="002C5897">
              <w:t>51</w:t>
            </w:r>
          </w:p>
        </w:tc>
        <w:tc>
          <w:tcPr>
            <w:tcW w:w="4395" w:type="dxa"/>
          </w:tcPr>
          <w:p w:rsidR="00DD3B31" w:rsidRPr="002C5897" w:rsidRDefault="00DD3B31" w:rsidP="0017209B">
            <w:pPr>
              <w:pStyle w:val="Tabletext"/>
            </w:pPr>
            <w:r w:rsidRPr="002C5897">
              <w:t>Transitional arrangements concerning coordination and notification</w:t>
            </w:r>
          </w:p>
        </w:tc>
        <w:tc>
          <w:tcPr>
            <w:tcW w:w="7223" w:type="dxa"/>
          </w:tcPr>
          <w:p w:rsidR="00DD3B31" w:rsidRPr="002C5897" w:rsidRDefault="00DD3B31" w:rsidP="0017209B">
            <w:pPr>
              <w:pStyle w:val="Tabletext"/>
              <w:rPr>
                <w:rStyle w:val="FootnoteReference"/>
                <w:highlight w:val="yellow"/>
              </w:rPr>
            </w:pPr>
            <w:r w:rsidRPr="002C5897">
              <w:rPr>
                <w:bCs/>
                <w:lang w:eastAsia="ja-JP"/>
              </w:rPr>
              <w:t>In accordance with Resolution 97 (WRC-07) (</w:t>
            </w:r>
            <w:r w:rsidRPr="002C5897">
              <w:rPr>
                <w:bCs/>
                <w:i/>
                <w:iCs/>
                <w:lang w:eastAsia="ja-JP"/>
              </w:rPr>
              <w:t>further resolves</w:t>
            </w:r>
            <w:r w:rsidRPr="002C5897">
              <w:rPr>
                <w:bCs/>
                <w:lang w:eastAsia="ja-JP"/>
              </w:rPr>
              <w:t xml:space="preserve"> 3), this Resolution be abrogated as of 1 January 2010.</w:t>
            </w:r>
          </w:p>
        </w:tc>
        <w:tc>
          <w:tcPr>
            <w:tcW w:w="1088" w:type="dxa"/>
          </w:tcPr>
          <w:p w:rsidR="00DD3B31" w:rsidRPr="002C5897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2C5897">
              <w:rPr>
                <w:rFonts w:hint="eastAsia"/>
                <w:lang w:eastAsia="ja-JP"/>
              </w:rPr>
              <w:t>SUP</w:t>
            </w:r>
            <w:r w:rsidRPr="002C5897">
              <w:rPr>
                <w:lang w:eastAsia="ja-JP"/>
              </w:rPr>
              <w:br/>
            </w:r>
            <w:r w:rsidRPr="002C5897"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 xml:space="preserve">Decision taken by WRC-07, but </w:t>
            </w:r>
            <w:r w:rsidRPr="002C5897">
              <w:rPr>
                <w:rFonts w:hint="eastAsia"/>
                <w:lang w:eastAsia="ja-JP"/>
              </w:rPr>
              <w:t>still in RR)</w:t>
            </w:r>
          </w:p>
        </w:tc>
        <w:tc>
          <w:tcPr>
            <w:tcW w:w="1088" w:type="dxa"/>
          </w:tcPr>
          <w:p w:rsidR="00DD3B31" w:rsidRPr="001C0795" w:rsidRDefault="00DD3B31" w:rsidP="0017209B">
            <w:pPr>
              <w:pStyle w:val="Tabletext"/>
              <w:jc w:val="center"/>
              <w:rPr>
                <w:color w:val="FF0000"/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55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686E4E">
              <w:rPr>
                <w:bCs/>
                <w:lang w:eastAsia="ja-JP"/>
              </w:rPr>
              <w:t>Electronic submission of notice forms</w:t>
            </w:r>
            <w:r w:rsidRPr="00686E4E">
              <w:rPr>
                <w:bCs/>
              </w:rPr>
              <w:t xml:space="preserve"> </w:t>
            </w:r>
            <w:proofErr w:type="spellStart"/>
            <w:r w:rsidRPr="00686E4E">
              <w:rPr>
                <w:bCs/>
              </w:rPr>
              <w:t>forsatellite</w:t>
            </w:r>
            <w:proofErr w:type="spellEnd"/>
            <w:r w:rsidRPr="00686E4E">
              <w:rPr>
                <w:bCs/>
              </w:rPr>
              <w:t xml:space="preserve"> network</w:t>
            </w:r>
            <w:r w:rsidRPr="00686E4E">
              <w:rPr>
                <w:bCs/>
                <w:lang w:eastAsia="ja-JP"/>
              </w:rPr>
              <w:t>s, earth stations and RAS stations</w:t>
            </w:r>
          </w:p>
        </w:tc>
        <w:tc>
          <w:tcPr>
            <w:tcW w:w="7223" w:type="dxa"/>
          </w:tcPr>
          <w:p w:rsidR="00DD3B31" w:rsidRDefault="00DD3B31" w:rsidP="0017209B">
            <w:pPr>
              <w:pStyle w:val="Tabletext"/>
              <w:rPr>
                <w:lang w:eastAsia="ja-JP"/>
              </w:rPr>
            </w:pPr>
            <w:r w:rsidRPr="002207DE">
              <w:rPr>
                <w:bCs/>
                <w:lang w:eastAsia="ja-JP"/>
              </w:rPr>
              <w:t xml:space="preserve">The text under </w:t>
            </w:r>
            <w:r w:rsidRPr="002207DE">
              <w:rPr>
                <w:bCs/>
                <w:i/>
                <w:lang w:eastAsia="ja-JP"/>
              </w:rPr>
              <w:t xml:space="preserve">“resolves” </w:t>
            </w:r>
            <w:proofErr w:type="spellStart"/>
            <w:r w:rsidRPr="002207DE">
              <w:rPr>
                <w:bCs/>
                <w:iCs/>
                <w:lang w:eastAsia="ja-JP"/>
              </w:rPr>
              <w:t>and</w:t>
            </w:r>
            <w:r w:rsidRPr="002207DE">
              <w:rPr>
                <w:bCs/>
                <w:lang w:eastAsia="ja-JP"/>
              </w:rPr>
              <w:t>“</w:t>
            </w:r>
            <w:r w:rsidRPr="002207DE">
              <w:rPr>
                <w:bCs/>
                <w:i/>
                <w:lang w:eastAsia="ja-JP"/>
              </w:rPr>
              <w:t>instructs</w:t>
            </w:r>
            <w:proofErr w:type="spellEnd"/>
            <w:r w:rsidRPr="002207DE">
              <w:rPr>
                <w:bCs/>
                <w:i/>
                <w:lang w:eastAsia="ja-JP"/>
              </w:rPr>
              <w:t xml:space="preserve"> the BR</w:t>
            </w:r>
            <w:r w:rsidRPr="002207DE">
              <w:rPr>
                <w:bCs/>
                <w:lang w:eastAsia="ja-JP"/>
              </w:rPr>
              <w:t>” may be reviewed with the reason that some items are implemented as suggested in the CPM Report</w:t>
            </w:r>
            <w:r>
              <w:rPr>
                <w:rFonts w:hint="eastAsia"/>
                <w:bCs/>
                <w:lang w:eastAsia="ja-JP"/>
              </w:rPr>
              <w:t xml:space="preserve"> to WRC-12</w:t>
            </w:r>
            <w:r w:rsidRPr="002207DE">
              <w:rPr>
                <w:bCs/>
                <w:lang w:eastAsia="ja-JP"/>
              </w:rPr>
              <w:t>.</w:t>
            </w:r>
          </w:p>
          <w:p w:rsidR="00DD3B31" w:rsidRPr="002C2BBD" w:rsidRDefault="00DD3B31" w:rsidP="0017209B">
            <w:pPr>
              <w:pStyle w:val="Tabletext"/>
              <w:rPr>
                <w:rStyle w:val="FootnoteReference"/>
                <w:color w:val="000000"/>
                <w:lang w:eastAsia="ja-JP"/>
              </w:rPr>
            </w:pP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MOD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58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</w:pPr>
            <w:r w:rsidRPr="00686E4E">
              <w:rPr>
                <w:bCs/>
              </w:rPr>
              <w:t xml:space="preserve">Transitional measures for coordination </w:t>
            </w:r>
            <w:r w:rsidRPr="00686E4E">
              <w:rPr>
                <w:bCs/>
                <w:lang w:eastAsia="ja-JP"/>
              </w:rPr>
              <w:t xml:space="preserve">between GSO FSS earth stations and non-GSO FSS </w:t>
            </w:r>
            <w:r w:rsidRPr="00686E4E">
              <w:rPr>
                <w:bCs/>
              </w:rPr>
              <w:t>in the bands 10.7</w:t>
            </w:r>
            <w:r w:rsidRPr="00686E4E">
              <w:rPr>
                <w:bCs/>
              </w:rPr>
              <w:noBreakHyphen/>
              <w:t>12.75 GHz, 17.8-18.6 GHz and 19.7</w:t>
            </w:r>
            <w:r w:rsidRPr="00686E4E">
              <w:rPr>
                <w:bCs/>
              </w:rPr>
              <w:noBreakHyphen/>
              <w:t>20.2 GHz</w:t>
            </w:r>
            <w:r w:rsidRPr="00686E4E">
              <w:rPr>
                <w:bCs/>
                <w:lang w:eastAsia="ja-JP"/>
              </w:rPr>
              <w:t xml:space="preserve"> using </w:t>
            </w:r>
            <w:proofErr w:type="spellStart"/>
            <w:r w:rsidRPr="00686E4E">
              <w:rPr>
                <w:bCs/>
                <w:iCs/>
                <w:lang w:eastAsia="ja-JP"/>
              </w:rPr>
              <w:t>epfd</w:t>
            </w:r>
            <w:proofErr w:type="spellEnd"/>
            <w:r w:rsidRPr="00686E4E">
              <w:rPr>
                <w:bCs/>
                <w:lang w:eastAsia="ja-JP"/>
              </w:rPr>
              <w:t xml:space="preserve"> limits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rPr>
                <w:rStyle w:val="FootnoteReference"/>
                <w:color w:val="000000"/>
              </w:rPr>
            </w:pPr>
            <w:r>
              <w:rPr>
                <w:bCs/>
                <w:lang w:eastAsia="ja-JP"/>
              </w:rPr>
              <w:t xml:space="preserve">Still relevant. CPM </w:t>
            </w:r>
            <w:proofErr w:type="spellStart"/>
            <w:r>
              <w:rPr>
                <w:bCs/>
                <w:lang w:eastAsia="ja-JP"/>
              </w:rPr>
              <w:t>Report</w:t>
            </w:r>
            <w:r>
              <w:rPr>
                <w:rFonts w:hint="eastAsia"/>
                <w:bCs/>
                <w:lang w:eastAsia="ja-JP"/>
              </w:rPr>
              <w:t>to</w:t>
            </w:r>
            <w:proofErr w:type="spellEnd"/>
            <w:r>
              <w:rPr>
                <w:rFonts w:hint="eastAsia"/>
                <w:bCs/>
                <w:lang w:eastAsia="ja-JP"/>
              </w:rPr>
              <w:t xml:space="preserve"> WRC-12 </w:t>
            </w:r>
            <w:r w:rsidRPr="002207DE">
              <w:rPr>
                <w:bCs/>
                <w:lang w:eastAsia="ja-JP"/>
              </w:rPr>
              <w:t>suggests that updating may be required</w:t>
            </w:r>
            <w:r w:rsidRPr="002207DE">
              <w:rPr>
                <w:bCs/>
              </w:rPr>
              <w:t xml:space="preserve"> in view of development within BR leading to the completion of the “</w:t>
            </w:r>
            <w:proofErr w:type="spellStart"/>
            <w:r w:rsidRPr="002207DE">
              <w:rPr>
                <w:bCs/>
              </w:rPr>
              <w:t>epfd</w:t>
            </w:r>
            <w:proofErr w:type="spellEnd"/>
            <w:r w:rsidRPr="002207DE">
              <w:rPr>
                <w:bCs/>
              </w:rPr>
              <w:t>” simulation software package.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63</w:t>
            </w:r>
          </w:p>
        </w:tc>
        <w:tc>
          <w:tcPr>
            <w:tcW w:w="4395" w:type="dxa"/>
            <w:shd w:val="clear" w:color="auto" w:fill="auto"/>
          </w:tcPr>
          <w:p w:rsidR="00DD3B31" w:rsidRPr="002C2BBD" w:rsidRDefault="00DD3B31" w:rsidP="0017209B">
            <w:pPr>
              <w:pStyle w:val="Tabletext"/>
            </w:pPr>
            <w:r w:rsidRPr="002C2BBD">
              <w:t>Protection from ISM equipment</w:t>
            </w:r>
          </w:p>
        </w:tc>
        <w:tc>
          <w:tcPr>
            <w:tcW w:w="7223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rPr>
                <w:rStyle w:val="FootnoteReference"/>
                <w:color w:val="000000"/>
              </w:rPr>
            </w:pPr>
            <w:r w:rsidRPr="002207DE">
              <w:rPr>
                <w:bCs/>
                <w:lang w:eastAsia="ja-JP"/>
              </w:rPr>
              <w:t>M</w:t>
            </w:r>
            <w:r w:rsidRPr="002207DE">
              <w:rPr>
                <w:bCs/>
                <w:lang w:eastAsia="ko-KR"/>
              </w:rPr>
              <w:t>odification</w:t>
            </w:r>
            <w:r w:rsidRPr="002207DE">
              <w:rPr>
                <w:bCs/>
                <w:lang w:eastAsia="ja-JP"/>
              </w:rPr>
              <w:t xml:space="preserve">s are proposed </w:t>
            </w:r>
            <w:r w:rsidRPr="002207DE">
              <w:rPr>
                <w:bCs/>
                <w:lang w:eastAsia="ko-KR"/>
              </w:rPr>
              <w:t xml:space="preserve">for further review of the radiation limit of ISM </w:t>
            </w:r>
            <w:proofErr w:type="spellStart"/>
            <w:r w:rsidRPr="002207DE">
              <w:rPr>
                <w:bCs/>
                <w:lang w:eastAsia="ko-KR"/>
              </w:rPr>
              <w:t>equipments</w:t>
            </w:r>
            <w:proofErr w:type="spellEnd"/>
            <w:r w:rsidRPr="002207DE">
              <w:rPr>
                <w:bCs/>
                <w:lang w:eastAsia="ko-KR"/>
              </w:rPr>
              <w:t xml:space="preserve"> taking into account the protection criteria of the radio services using digital technology</w:t>
            </w:r>
            <w:r w:rsidRPr="002207DE">
              <w:rPr>
                <w:bCs/>
                <w:lang w:eastAsia="ja-JP"/>
              </w:rPr>
              <w:t xml:space="preserve"> (see </w:t>
            </w:r>
            <w:r w:rsidRPr="002207DE">
              <w:rPr>
                <w:bCs/>
              </w:rPr>
              <w:t>ASP/</w:t>
            </w:r>
            <w:r w:rsidRPr="002207DE">
              <w:rPr>
                <w:bCs/>
                <w:lang w:eastAsia="ja-JP"/>
              </w:rPr>
              <w:t>26A29</w:t>
            </w:r>
            <w:r w:rsidRPr="002207DE">
              <w:rPr>
                <w:bCs/>
              </w:rPr>
              <w:t>/</w:t>
            </w:r>
            <w:r w:rsidRPr="002207DE">
              <w:rPr>
                <w:bCs/>
                <w:lang w:eastAsia="ja-JP"/>
              </w:rPr>
              <w:t>1</w:t>
            </w:r>
            <w:r w:rsidRPr="002207DE">
              <w:rPr>
                <w:bCs/>
              </w:rPr>
              <w:t xml:space="preserve"> under WRC-</w:t>
            </w:r>
            <w:r w:rsidRPr="002207DE">
              <w:rPr>
                <w:bCs/>
                <w:lang w:eastAsia="ja-JP"/>
              </w:rPr>
              <w:t>12</w:t>
            </w:r>
            <w:r w:rsidRPr="002207DE">
              <w:rPr>
                <w:bCs/>
              </w:rPr>
              <w:t xml:space="preserve"> Agenda item </w:t>
            </w:r>
            <w:r w:rsidRPr="002207DE">
              <w:rPr>
                <w:bCs/>
                <w:lang w:eastAsia="ja-JP"/>
              </w:rPr>
              <w:t>8</w:t>
            </w:r>
            <w:r w:rsidRPr="002207DE">
              <w:rPr>
                <w:bCs/>
              </w:rPr>
              <w:t>.</w:t>
            </w:r>
            <w:r w:rsidRPr="002207DE">
              <w:rPr>
                <w:bCs/>
                <w:lang w:eastAsia="ja-JP"/>
              </w:rPr>
              <w:t>1.1).</w:t>
            </w:r>
          </w:p>
        </w:tc>
        <w:tc>
          <w:tcPr>
            <w:tcW w:w="1088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  <w:shd w:val="clear" w:color="auto" w:fill="auto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D9D9D9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67</w:t>
            </w:r>
          </w:p>
        </w:tc>
        <w:tc>
          <w:tcPr>
            <w:tcW w:w="4395" w:type="dxa"/>
            <w:shd w:val="clear" w:color="auto" w:fill="D9D9D9"/>
          </w:tcPr>
          <w:p w:rsidR="00DD3B31" w:rsidRPr="004E5DFF" w:rsidRDefault="00DD3B31" w:rsidP="0017209B">
            <w:pPr>
              <w:pStyle w:val="Tabletext"/>
            </w:pPr>
            <w:r w:rsidRPr="004E5DFF">
              <w:t>Updating and rearrangement of the Radio Regulations</w:t>
            </w:r>
          </w:p>
        </w:tc>
        <w:tc>
          <w:tcPr>
            <w:tcW w:w="7223" w:type="dxa"/>
            <w:shd w:val="clear" w:color="auto" w:fill="D9D9D9"/>
          </w:tcPr>
          <w:p w:rsidR="00DD3B31" w:rsidRPr="004E5DFF" w:rsidRDefault="00DD3B31" w:rsidP="0017209B">
            <w:pPr>
              <w:pStyle w:val="Tabletext"/>
              <w:rPr>
                <w:lang w:eastAsia="ja-JP"/>
              </w:rPr>
            </w:pPr>
            <w:r w:rsidRPr="00752BA2">
              <w:rPr>
                <w:szCs w:val="22"/>
              </w:rPr>
              <w:t xml:space="preserve"> 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</w:t>
            </w:r>
            <w:r>
              <w:rPr>
                <w:rFonts w:hint="eastAsia"/>
                <w:b/>
                <w:szCs w:val="22"/>
                <w:lang w:eastAsia="ja-JP"/>
              </w:rPr>
              <w:t>9</w:t>
            </w:r>
            <w:r w:rsidRPr="00752BA2">
              <w:rPr>
                <w:b/>
                <w:szCs w:val="22"/>
              </w:rPr>
              <w:t>.</w:t>
            </w:r>
            <w:r>
              <w:rPr>
                <w:rFonts w:hint="eastAsia"/>
                <w:b/>
                <w:szCs w:val="22"/>
                <w:lang w:eastAsia="ja-JP"/>
              </w:rPr>
              <w:t>1.4</w:t>
            </w:r>
            <w:r w:rsidRPr="00752BA2">
              <w:rPr>
                <w:b/>
                <w:szCs w:val="22"/>
                <w:lang w:eastAsia="ja-JP"/>
              </w:rPr>
              <w:t>)</w:t>
            </w:r>
            <w:r>
              <w:rPr>
                <w:rFonts w:hint="eastAsia"/>
                <w:b/>
                <w:szCs w:val="22"/>
                <w:lang w:eastAsia="ja-JP"/>
              </w:rPr>
              <w:t>.</w:t>
            </w:r>
          </w:p>
        </w:tc>
        <w:tc>
          <w:tcPr>
            <w:tcW w:w="1088" w:type="dxa"/>
            <w:shd w:val="clear" w:color="auto" w:fill="D9D9D9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D9D9D9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72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2C2BBD">
              <w:t>Regional preparations</w:t>
            </w:r>
            <w:r w:rsidRPr="00686E4E">
              <w:rPr>
                <w:bCs/>
                <w:lang w:eastAsia="ja-JP"/>
              </w:rPr>
              <w:t xml:space="preserve"> for WRC</w:t>
            </w:r>
          </w:p>
        </w:tc>
        <w:tc>
          <w:tcPr>
            <w:tcW w:w="7223" w:type="dxa"/>
          </w:tcPr>
          <w:p w:rsidR="00DD3B31" w:rsidRPr="002C2BBD" w:rsidRDefault="00DD3B31" w:rsidP="0017209B">
            <w:pPr>
              <w:pStyle w:val="Tabletext"/>
            </w:pPr>
            <w:r w:rsidRPr="002207DE">
              <w:rPr>
                <w:bCs/>
                <w:lang w:eastAsia="ja-JP"/>
              </w:rPr>
              <w:t>Some actions are completed, but it is still relevant.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73</w:t>
            </w:r>
          </w:p>
        </w:tc>
        <w:tc>
          <w:tcPr>
            <w:tcW w:w="4395" w:type="dxa"/>
          </w:tcPr>
          <w:p w:rsidR="00DD3B31" w:rsidRPr="00934DFD" w:rsidRDefault="00DD3B31" w:rsidP="0017209B">
            <w:pPr>
              <w:pStyle w:val="Tabletext"/>
              <w:rPr>
                <w:lang w:eastAsia="ja-JP"/>
              </w:rPr>
            </w:pPr>
            <w:r w:rsidRPr="002C2BBD">
              <w:t xml:space="preserve">Compatibility BSS-R1/FSS-R3 in </w:t>
            </w:r>
            <w:r w:rsidRPr="00686E4E">
              <w:rPr>
                <w:bCs/>
              </w:rPr>
              <w:t>12</w:t>
            </w:r>
            <w:r w:rsidRPr="00686E4E">
              <w:rPr>
                <w:bCs/>
                <w:lang w:eastAsia="ja-JP"/>
              </w:rPr>
              <w:t>.2-12.5</w:t>
            </w:r>
            <w:r w:rsidRPr="002C2BBD">
              <w:t>GHz</w:t>
            </w:r>
          </w:p>
        </w:tc>
        <w:tc>
          <w:tcPr>
            <w:tcW w:w="7223" w:type="dxa"/>
          </w:tcPr>
          <w:p w:rsidR="00DD3B31" w:rsidRPr="002C2BBD" w:rsidRDefault="00DD3B31" w:rsidP="0017209B">
            <w:pPr>
              <w:pStyle w:val="Tabletext"/>
              <w:rPr>
                <w:rStyle w:val="FootnoteReference"/>
                <w:color w:val="000000"/>
              </w:rPr>
            </w:pPr>
            <w:r w:rsidRPr="002207DE">
              <w:rPr>
                <w:bCs/>
              </w:rPr>
              <w:t>Still relevant</w:t>
            </w:r>
            <w:r w:rsidRPr="002207DE">
              <w:rPr>
                <w:bCs/>
                <w:lang w:eastAsia="ja-JP"/>
              </w:rPr>
              <w:t xml:space="preserve"> to Region 3 countries.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lastRenderedPageBreak/>
              <w:t>74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686E4E">
              <w:rPr>
                <w:bCs/>
                <w:lang w:eastAsia="ja-JP"/>
              </w:rPr>
              <w:t xml:space="preserve">Process to keep the </w:t>
            </w:r>
            <w:r w:rsidRPr="00686E4E">
              <w:rPr>
                <w:bCs/>
              </w:rPr>
              <w:t>technical bases of Appendix </w:t>
            </w:r>
            <w:r w:rsidRPr="003353EC">
              <w:rPr>
                <w:b/>
                <w:bCs/>
              </w:rPr>
              <w:t>7</w:t>
            </w:r>
            <w:r w:rsidRPr="00686E4E">
              <w:rPr>
                <w:bCs/>
                <w:lang w:eastAsia="ja-JP"/>
              </w:rPr>
              <w:t xml:space="preserve"> current</w:t>
            </w:r>
          </w:p>
        </w:tc>
        <w:tc>
          <w:tcPr>
            <w:tcW w:w="7223" w:type="dxa"/>
          </w:tcPr>
          <w:p w:rsidR="00DD3B31" w:rsidRPr="002C2BBD" w:rsidRDefault="00DD3B31" w:rsidP="0017209B">
            <w:pPr>
              <w:pStyle w:val="Tabletext"/>
              <w:rPr>
                <w:bCs/>
              </w:rPr>
            </w:pPr>
            <w:r w:rsidRPr="002207DE">
              <w:rPr>
                <w:bCs/>
                <w:lang w:eastAsia="ja-JP"/>
              </w:rPr>
              <w:t>The ITU-R study invited in this Resolution is still under way (not completed).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75</w:t>
            </w:r>
          </w:p>
        </w:tc>
        <w:tc>
          <w:tcPr>
            <w:tcW w:w="4395" w:type="dxa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 xml:space="preserve">Development of the technical basis for determining the coordination area of a receiving earth station in </w:t>
            </w:r>
            <w:r>
              <w:rPr>
                <w:rFonts w:hint="eastAsia"/>
                <w:szCs w:val="22"/>
                <w:lang w:eastAsia="ja-JP"/>
              </w:rPr>
              <w:t>SRS</w:t>
            </w:r>
            <w:r w:rsidRPr="00CA192C">
              <w:rPr>
                <w:szCs w:val="22"/>
              </w:rPr>
              <w:t xml:space="preserve"> with </w:t>
            </w:r>
            <w:r>
              <w:rPr>
                <w:rFonts w:hint="eastAsia"/>
                <w:szCs w:val="22"/>
                <w:lang w:eastAsia="ja-JP"/>
              </w:rPr>
              <w:t xml:space="preserve">HDFS </w:t>
            </w:r>
            <w:r w:rsidRPr="00CA192C">
              <w:rPr>
                <w:szCs w:val="22"/>
              </w:rPr>
              <w:t>in the 31.8-32.3  and 37-38 GHz bands</w:t>
            </w:r>
          </w:p>
        </w:tc>
        <w:tc>
          <w:tcPr>
            <w:tcW w:w="7223" w:type="dxa"/>
          </w:tcPr>
          <w:p w:rsidR="00DD3B31" w:rsidRPr="00CA192C" w:rsidRDefault="00DD3B31" w:rsidP="0017209B">
            <w:pPr>
              <w:pStyle w:val="Tabletext"/>
              <w:rPr>
                <w:bCs/>
                <w:szCs w:val="22"/>
              </w:rPr>
            </w:pPr>
            <w:r w:rsidRPr="00CA192C">
              <w:rPr>
                <w:bCs/>
                <w:szCs w:val="22"/>
                <w:lang w:eastAsia="ja-JP"/>
              </w:rPr>
              <w:t>While the studies invited in this Resolution have been partly completed (Recommendations ITU-R F.1760 and F.1765), further study may be needed to determine the coordination between a receiving earth station of the space research service (deep space) and other services in the band 37-38 GHz.</w:t>
            </w:r>
          </w:p>
        </w:tc>
        <w:tc>
          <w:tcPr>
            <w:tcW w:w="1088" w:type="dxa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76</w:t>
            </w:r>
          </w:p>
        </w:tc>
        <w:tc>
          <w:tcPr>
            <w:tcW w:w="4395" w:type="dxa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 xml:space="preserve">Development of calculation methodologies concerning aggregate </w:t>
            </w:r>
            <w:proofErr w:type="spellStart"/>
            <w:r w:rsidRPr="00CA192C">
              <w:rPr>
                <w:szCs w:val="22"/>
              </w:rPr>
              <w:t>epfd</w:t>
            </w:r>
            <w:proofErr w:type="spellEnd"/>
            <w:r w:rsidRPr="00CA192C">
              <w:rPr>
                <w:szCs w:val="22"/>
              </w:rPr>
              <w:t xml:space="preserve"> produced by non</w:t>
            </w:r>
            <w:r w:rsidRPr="00CA192C">
              <w:rPr>
                <w:szCs w:val="22"/>
              </w:rPr>
              <w:noBreakHyphen/>
              <w:t>GSO in the bands 10.7-30 GHz</w:t>
            </w:r>
          </w:p>
        </w:tc>
        <w:tc>
          <w:tcPr>
            <w:tcW w:w="7223" w:type="dxa"/>
          </w:tcPr>
          <w:p w:rsidR="00DD3B31" w:rsidRPr="00CA192C" w:rsidRDefault="00DD3B31" w:rsidP="0017209B">
            <w:pPr>
              <w:pStyle w:val="Tabletext"/>
              <w:rPr>
                <w:rStyle w:val="FootnoteReference"/>
                <w:color w:val="000000"/>
                <w:szCs w:val="22"/>
                <w:highlight w:val="yellow"/>
              </w:rPr>
            </w:pPr>
            <w:r w:rsidRPr="00CA192C">
              <w:rPr>
                <w:bCs/>
                <w:color w:val="000000"/>
                <w:szCs w:val="22"/>
                <w:lang w:eastAsia="ja-JP"/>
              </w:rPr>
              <w:t xml:space="preserve">This Resolution is referred to in No. </w:t>
            </w:r>
            <w:r w:rsidRPr="00CA192C">
              <w:rPr>
                <w:b/>
                <w:bCs/>
                <w:color w:val="000000"/>
                <w:szCs w:val="22"/>
                <w:lang w:eastAsia="ja-JP"/>
              </w:rPr>
              <w:t>22.5K</w:t>
            </w:r>
            <w:r w:rsidRPr="00CA192C">
              <w:rPr>
                <w:bCs/>
                <w:color w:val="000000"/>
                <w:szCs w:val="22"/>
                <w:lang w:eastAsia="ja-JP"/>
              </w:rPr>
              <w:t xml:space="preserve">. Annex contains necessary </w:t>
            </w:r>
            <w:proofErr w:type="spellStart"/>
            <w:r w:rsidRPr="00CA192C">
              <w:rPr>
                <w:bCs/>
                <w:color w:val="000000"/>
                <w:szCs w:val="22"/>
                <w:lang w:eastAsia="ja-JP"/>
              </w:rPr>
              <w:t>epfd</w:t>
            </w:r>
            <w:proofErr w:type="spellEnd"/>
            <w:r w:rsidRPr="00CA192C">
              <w:rPr>
                <w:bCs/>
                <w:color w:val="000000"/>
                <w:szCs w:val="22"/>
                <w:lang w:eastAsia="ja-JP"/>
              </w:rPr>
              <w:t xml:space="preserve"> criteria.</w:t>
            </w:r>
            <w:r w:rsidRPr="00CA192C">
              <w:rPr>
                <w:bCs/>
                <w:i/>
                <w:szCs w:val="22"/>
                <w:lang w:eastAsia="ja-JP"/>
              </w:rPr>
              <w:t xml:space="preserve"> I</w:t>
            </w:r>
            <w:r w:rsidRPr="00CA192C">
              <w:rPr>
                <w:bCs/>
                <w:i/>
                <w:szCs w:val="22"/>
              </w:rPr>
              <w:t xml:space="preserve">nvites </w:t>
            </w:r>
            <w:r w:rsidRPr="00CA192C">
              <w:rPr>
                <w:bCs/>
                <w:i/>
                <w:iCs/>
                <w:szCs w:val="22"/>
              </w:rPr>
              <w:t>ITU-R</w:t>
            </w:r>
            <w:r w:rsidRPr="00CA192C">
              <w:rPr>
                <w:bCs/>
                <w:szCs w:val="22"/>
              </w:rPr>
              <w:t xml:space="preserve"> may need to be updated taking </w:t>
            </w:r>
            <w:r w:rsidRPr="00CA192C">
              <w:rPr>
                <w:bCs/>
                <w:szCs w:val="22"/>
                <w:lang w:eastAsia="ja-JP"/>
              </w:rPr>
              <w:t xml:space="preserve">into </w:t>
            </w:r>
            <w:r w:rsidRPr="00CA192C">
              <w:rPr>
                <w:bCs/>
                <w:szCs w:val="22"/>
              </w:rPr>
              <w:t xml:space="preserve">account Recommendation ITU-R S.1588 in force. </w:t>
            </w:r>
            <w:r w:rsidRPr="00CA192C">
              <w:rPr>
                <w:bCs/>
                <w:szCs w:val="22"/>
                <w:lang w:eastAsia="ja-JP"/>
              </w:rPr>
              <w:t xml:space="preserve">In </w:t>
            </w:r>
            <w:r w:rsidRPr="00CA192C">
              <w:rPr>
                <w:bCs/>
                <w:szCs w:val="22"/>
              </w:rPr>
              <w:t xml:space="preserve">Annex 1 the versions of Recommendations </w:t>
            </w:r>
            <w:r w:rsidRPr="00CA192C">
              <w:rPr>
                <w:bCs/>
                <w:szCs w:val="22"/>
                <w:lang w:eastAsia="ja-JP"/>
              </w:rPr>
              <w:t xml:space="preserve">ITU-R </w:t>
            </w:r>
            <w:r w:rsidRPr="00CA192C">
              <w:rPr>
                <w:bCs/>
                <w:szCs w:val="22"/>
              </w:rPr>
              <w:t xml:space="preserve">S.1428 and </w:t>
            </w:r>
            <w:r w:rsidRPr="00CA192C">
              <w:rPr>
                <w:bCs/>
                <w:szCs w:val="22"/>
                <w:lang w:eastAsia="ja-JP"/>
              </w:rPr>
              <w:t xml:space="preserve">ITU-R </w:t>
            </w:r>
            <w:r w:rsidRPr="00CA192C">
              <w:rPr>
                <w:bCs/>
                <w:szCs w:val="22"/>
              </w:rPr>
              <w:t xml:space="preserve">BO.1443 </w:t>
            </w:r>
            <w:r w:rsidRPr="00CA192C">
              <w:rPr>
                <w:bCs/>
                <w:szCs w:val="22"/>
                <w:lang w:eastAsia="ja-JP"/>
              </w:rPr>
              <w:t>need to be updated.</w:t>
            </w:r>
          </w:p>
        </w:tc>
        <w:tc>
          <w:tcPr>
            <w:tcW w:w="1088" w:type="dxa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  <w:highlight w:val="yellow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BFBFBF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80</w:t>
            </w:r>
          </w:p>
        </w:tc>
        <w:tc>
          <w:tcPr>
            <w:tcW w:w="4395" w:type="dxa"/>
            <w:shd w:val="clear" w:color="auto" w:fill="BFBFBF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>Principles of the Constitution, to be taken into consideration</w:t>
            </w:r>
          </w:p>
        </w:tc>
        <w:tc>
          <w:tcPr>
            <w:tcW w:w="7223" w:type="dxa"/>
            <w:shd w:val="clear" w:color="auto" w:fill="BFBFBF"/>
          </w:tcPr>
          <w:p w:rsidR="00DD3B31" w:rsidRPr="00CA192C" w:rsidRDefault="00DD3B31" w:rsidP="0017209B">
            <w:pPr>
              <w:pStyle w:val="Tabletext"/>
              <w:rPr>
                <w:b/>
                <w:szCs w:val="22"/>
                <w:lang w:eastAsia="ja-JP"/>
              </w:rPr>
            </w:pPr>
            <w:r w:rsidRPr="00CA192C">
              <w:rPr>
                <w:szCs w:val="22"/>
              </w:rPr>
              <w:t>For consideration by WRC-</w:t>
            </w:r>
            <w:r w:rsidRPr="00CA192C">
              <w:rPr>
                <w:szCs w:val="22"/>
                <w:lang w:eastAsia="ja-JP"/>
              </w:rPr>
              <w:t>15 (</w:t>
            </w:r>
            <w:r w:rsidRPr="00CA192C">
              <w:rPr>
                <w:b/>
                <w:szCs w:val="22"/>
              </w:rPr>
              <w:t>Agenda item </w:t>
            </w:r>
            <w:r w:rsidRPr="00CA192C">
              <w:rPr>
                <w:b/>
                <w:szCs w:val="22"/>
                <w:lang w:eastAsia="ja-JP"/>
              </w:rPr>
              <w:t>9.3)</w:t>
            </w:r>
          </w:p>
          <w:p w:rsidR="00DD3B31" w:rsidRPr="00CA192C" w:rsidRDefault="00DD3B31" w:rsidP="0017209B">
            <w:pPr>
              <w:pStyle w:val="Tabletext"/>
              <w:rPr>
                <w:szCs w:val="22"/>
                <w:lang w:eastAsia="ja-JP"/>
              </w:rPr>
            </w:pPr>
            <w:r w:rsidRPr="00CA192C">
              <w:rPr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088" w:type="dxa"/>
            <w:shd w:val="clear" w:color="auto" w:fill="BFBFBF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  <w:shd w:val="clear" w:color="auto" w:fill="BFBFBF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81</w:t>
            </w:r>
          </w:p>
        </w:tc>
        <w:tc>
          <w:tcPr>
            <w:tcW w:w="4395" w:type="dxa"/>
          </w:tcPr>
          <w:p w:rsidR="00DD3B31" w:rsidRPr="00CA192C" w:rsidRDefault="00DD3B31" w:rsidP="0017209B">
            <w:pPr>
              <w:pStyle w:val="Tabletext"/>
              <w:rPr>
                <w:szCs w:val="22"/>
                <w:lang w:eastAsia="ja-JP"/>
              </w:rPr>
            </w:pPr>
            <w:r w:rsidRPr="00CA192C">
              <w:rPr>
                <w:szCs w:val="22"/>
              </w:rPr>
              <w:t xml:space="preserve">Evaluation of administrative due </w:t>
            </w:r>
            <w:proofErr w:type="spellStart"/>
            <w:r w:rsidRPr="00CA192C">
              <w:rPr>
                <w:szCs w:val="22"/>
              </w:rPr>
              <w:t>diligence</w:t>
            </w:r>
            <w:r w:rsidRPr="00CA192C">
              <w:rPr>
                <w:bCs/>
                <w:szCs w:val="22"/>
                <w:lang w:eastAsia="ja-JP"/>
              </w:rPr>
              <w:t>for</w:t>
            </w:r>
            <w:proofErr w:type="spellEnd"/>
            <w:r w:rsidRPr="00CA192C">
              <w:rPr>
                <w:bCs/>
                <w:szCs w:val="22"/>
                <w:lang w:eastAsia="ja-JP"/>
              </w:rPr>
              <w:t xml:space="preserve"> satellite networks</w:t>
            </w:r>
          </w:p>
        </w:tc>
        <w:tc>
          <w:tcPr>
            <w:tcW w:w="7223" w:type="dxa"/>
          </w:tcPr>
          <w:p w:rsidR="00DD3B31" w:rsidRPr="00CA192C" w:rsidRDefault="00DD3B31" w:rsidP="0017209B">
            <w:pPr>
              <w:pStyle w:val="Tabletext"/>
              <w:rPr>
                <w:rStyle w:val="FootnoteReference"/>
                <w:color w:val="000000"/>
                <w:szCs w:val="22"/>
                <w:highlight w:val="yellow"/>
              </w:rPr>
            </w:pPr>
            <w:r w:rsidRPr="00CA192C">
              <w:rPr>
                <w:bCs/>
                <w:szCs w:val="22"/>
                <w:lang w:eastAsia="ja-JP"/>
              </w:rPr>
              <w:t xml:space="preserve">Most information may be obsolete. Although </w:t>
            </w:r>
            <w:r w:rsidRPr="00CA192C">
              <w:rPr>
                <w:bCs/>
                <w:i/>
                <w:szCs w:val="22"/>
                <w:lang w:eastAsia="ja-JP"/>
              </w:rPr>
              <w:t>resolves</w:t>
            </w:r>
            <w:r w:rsidRPr="00CA192C">
              <w:rPr>
                <w:bCs/>
                <w:szCs w:val="22"/>
                <w:lang w:eastAsia="ja-JP"/>
              </w:rPr>
              <w:t xml:space="preserve"> 2 may still be relevant, this Resolution could be suppressed.</w:t>
            </w:r>
          </w:p>
        </w:tc>
        <w:tc>
          <w:tcPr>
            <w:tcW w:w="1088" w:type="dxa"/>
          </w:tcPr>
          <w:p w:rsidR="00DD3B31" w:rsidRPr="00CA192C" w:rsidRDefault="00DD3B31" w:rsidP="0017209B">
            <w:pPr>
              <w:jc w:val="center"/>
              <w:rPr>
                <w:sz w:val="22"/>
                <w:szCs w:val="22"/>
                <w:highlight w:val="yellow"/>
              </w:rPr>
            </w:pPr>
            <w:r w:rsidRPr="00CA192C">
              <w:rPr>
                <w:sz w:val="22"/>
                <w:szCs w:val="22"/>
              </w:rP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85</w:t>
            </w:r>
          </w:p>
        </w:tc>
        <w:tc>
          <w:tcPr>
            <w:tcW w:w="4395" w:type="dxa"/>
          </w:tcPr>
          <w:p w:rsidR="00DD3B31" w:rsidRPr="00CA192C" w:rsidRDefault="00DD3B31" w:rsidP="0017209B">
            <w:pPr>
              <w:pStyle w:val="Tabletext"/>
              <w:rPr>
                <w:szCs w:val="22"/>
                <w:lang w:eastAsia="ja-JP"/>
              </w:rPr>
            </w:pPr>
            <w:r w:rsidRPr="00CA192C">
              <w:rPr>
                <w:szCs w:val="22"/>
              </w:rPr>
              <w:t>Protection of GSO systems (FSS and BSS) from non-GSO FSS systems</w:t>
            </w:r>
          </w:p>
        </w:tc>
        <w:tc>
          <w:tcPr>
            <w:tcW w:w="7223" w:type="dxa"/>
          </w:tcPr>
          <w:p w:rsidR="00DD3B31" w:rsidRPr="00CA192C" w:rsidRDefault="00DD3B31" w:rsidP="0017209B">
            <w:pPr>
              <w:pStyle w:val="Tabletext"/>
              <w:rPr>
                <w:rStyle w:val="FootnoteReference"/>
                <w:color w:val="000000"/>
                <w:szCs w:val="22"/>
              </w:rPr>
            </w:pPr>
            <w:r>
              <w:rPr>
                <w:bCs/>
                <w:szCs w:val="22"/>
                <w:lang w:eastAsia="ja-JP"/>
              </w:rPr>
              <w:t xml:space="preserve">Still relevant. CPM </w:t>
            </w:r>
            <w:proofErr w:type="spellStart"/>
            <w:r>
              <w:rPr>
                <w:bCs/>
                <w:szCs w:val="22"/>
                <w:lang w:eastAsia="ja-JP"/>
              </w:rPr>
              <w:t>Report</w:t>
            </w:r>
            <w:r>
              <w:rPr>
                <w:rFonts w:hint="eastAsia"/>
                <w:bCs/>
                <w:szCs w:val="22"/>
                <w:lang w:eastAsia="ja-JP"/>
              </w:rPr>
              <w:t>to</w:t>
            </w:r>
            <w:proofErr w:type="spellEnd"/>
            <w:r>
              <w:rPr>
                <w:rFonts w:hint="eastAsia"/>
                <w:bCs/>
                <w:szCs w:val="22"/>
                <w:lang w:eastAsia="ja-JP"/>
              </w:rPr>
              <w:t xml:space="preserve"> WRC-12 </w:t>
            </w:r>
            <w:r w:rsidRPr="00CA192C">
              <w:rPr>
                <w:bCs/>
                <w:szCs w:val="22"/>
                <w:lang w:eastAsia="ja-JP"/>
              </w:rPr>
              <w:t>suggests that updating may be required</w:t>
            </w:r>
            <w:r w:rsidRPr="00CA192C">
              <w:rPr>
                <w:bCs/>
                <w:szCs w:val="22"/>
              </w:rPr>
              <w:t xml:space="preserve"> in view of development within BR leading to the completion of the “</w:t>
            </w:r>
            <w:proofErr w:type="spellStart"/>
            <w:r w:rsidRPr="00CA192C">
              <w:rPr>
                <w:bCs/>
                <w:szCs w:val="22"/>
              </w:rPr>
              <w:t>epfd</w:t>
            </w:r>
            <w:proofErr w:type="spellEnd"/>
            <w:r w:rsidRPr="00CA192C">
              <w:rPr>
                <w:bCs/>
                <w:szCs w:val="22"/>
              </w:rPr>
              <w:t>” simulation software package.</w:t>
            </w:r>
          </w:p>
        </w:tc>
        <w:tc>
          <w:tcPr>
            <w:tcW w:w="1088" w:type="dxa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BFBFBF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86</w:t>
            </w:r>
          </w:p>
        </w:tc>
        <w:tc>
          <w:tcPr>
            <w:tcW w:w="4395" w:type="dxa"/>
            <w:shd w:val="clear" w:color="auto" w:fill="BFBFBF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>Criteria for implementation of Res. </w:t>
            </w:r>
            <w:r w:rsidRPr="006567B8">
              <w:rPr>
                <w:b/>
                <w:szCs w:val="22"/>
              </w:rPr>
              <w:t>86(Rev. PP-02</w:t>
            </w:r>
            <w:r w:rsidRPr="00CA192C">
              <w:rPr>
                <w:szCs w:val="22"/>
              </w:rPr>
              <w:t>)</w:t>
            </w:r>
          </w:p>
        </w:tc>
        <w:tc>
          <w:tcPr>
            <w:tcW w:w="7223" w:type="dxa"/>
            <w:shd w:val="clear" w:color="auto" w:fill="BFBFBF"/>
          </w:tcPr>
          <w:p w:rsidR="00DD3B31" w:rsidRPr="00CA192C" w:rsidRDefault="00DD3B31" w:rsidP="0017209B">
            <w:pPr>
              <w:pStyle w:val="Tabletext"/>
              <w:rPr>
                <w:b/>
                <w:szCs w:val="22"/>
                <w:lang w:eastAsia="ja-JP"/>
              </w:rPr>
            </w:pPr>
            <w:r w:rsidRPr="00CA192C">
              <w:rPr>
                <w:szCs w:val="22"/>
              </w:rPr>
              <w:t>For consideration by WRC-</w:t>
            </w:r>
            <w:r w:rsidRPr="00CA192C">
              <w:rPr>
                <w:szCs w:val="22"/>
                <w:lang w:eastAsia="ja-JP"/>
              </w:rPr>
              <w:t>15 (</w:t>
            </w:r>
            <w:r w:rsidRPr="00CA192C">
              <w:rPr>
                <w:b/>
                <w:szCs w:val="22"/>
              </w:rPr>
              <w:t>Agenda item </w:t>
            </w:r>
            <w:r w:rsidRPr="00CA192C">
              <w:rPr>
                <w:b/>
                <w:szCs w:val="22"/>
                <w:lang w:eastAsia="ja-JP"/>
              </w:rPr>
              <w:t>7)</w:t>
            </w:r>
          </w:p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088" w:type="dxa"/>
            <w:shd w:val="clear" w:color="auto" w:fill="BFBFBF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  <w:shd w:val="clear" w:color="auto" w:fill="BFBFBF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BFBFBF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95</w:t>
            </w:r>
          </w:p>
        </w:tc>
        <w:tc>
          <w:tcPr>
            <w:tcW w:w="4395" w:type="dxa"/>
            <w:shd w:val="clear" w:color="auto" w:fill="BFBFBF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>Review of Resolution/Recommendation</w:t>
            </w:r>
          </w:p>
        </w:tc>
        <w:tc>
          <w:tcPr>
            <w:tcW w:w="7223" w:type="dxa"/>
            <w:shd w:val="clear" w:color="auto" w:fill="BFBFBF"/>
          </w:tcPr>
          <w:p w:rsidR="00DD3B31" w:rsidRPr="00CA192C" w:rsidRDefault="00DD3B31" w:rsidP="0017209B">
            <w:pPr>
              <w:pStyle w:val="Tabletext"/>
              <w:rPr>
                <w:b/>
                <w:szCs w:val="22"/>
                <w:lang w:eastAsia="ja-JP"/>
              </w:rPr>
            </w:pPr>
            <w:r w:rsidRPr="00CA192C">
              <w:rPr>
                <w:szCs w:val="22"/>
              </w:rPr>
              <w:t>For consideration by WRC-</w:t>
            </w:r>
            <w:r w:rsidRPr="00CA192C">
              <w:rPr>
                <w:szCs w:val="22"/>
                <w:lang w:eastAsia="ja-JP"/>
              </w:rPr>
              <w:t>15 (</w:t>
            </w:r>
            <w:r w:rsidRPr="00CA192C">
              <w:rPr>
                <w:b/>
                <w:szCs w:val="22"/>
              </w:rPr>
              <w:t>Agenda item </w:t>
            </w:r>
            <w:r w:rsidRPr="00CA192C">
              <w:rPr>
                <w:b/>
                <w:szCs w:val="22"/>
                <w:lang w:eastAsia="ja-JP"/>
              </w:rPr>
              <w:t>4)</w:t>
            </w:r>
          </w:p>
          <w:p w:rsidR="00DD3B31" w:rsidRPr="00CA192C" w:rsidRDefault="00DD3B31" w:rsidP="0017209B">
            <w:pPr>
              <w:pStyle w:val="Tabletext"/>
              <w:rPr>
                <w:rStyle w:val="FootnoteReference"/>
                <w:color w:val="000000"/>
                <w:szCs w:val="22"/>
              </w:rPr>
            </w:pPr>
            <w:r w:rsidRPr="00CA192C">
              <w:rPr>
                <w:bCs/>
                <w:szCs w:val="22"/>
              </w:rPr>
              <w:t>Still relevant (permanent agenda item at each WRC).</w:t>
            </w:r>
          </w:p>
        </w:tc>
        <w:tc>
          <w:tcPr>
            <w:tcW w:w="1088" w:type="dxa"/>
            <w:shd w:val="clear" w:color="auto" w:fill="BFBFBF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  <w:shd w:val="clear" w:color="auto" w:fill="BFBFBF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98</w:t>
            </w:r>
          </w:p>
        </w:tc>
        <w:tc>
          <w:tcPr>
            <w:tcW w:w="4395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rPr>
                <w:szCs w:val="22"/>
              </w:rPr>
            </w:pPr>
            <w:r w:rsidRPr="004E5DFF">
              <w:rPr>
                <w:szCs w:val="22"/>
              </w:rPr>
              <w:t xml:space="preserve">Provisional application of certain provisions of the Radio </w:t>
            </w:r>
            <w:proofErr w:type="spellStart"/>
            <w:r w:rsidRPr="004E5DFF">
              <w:rPr>
                <w:szCs w:val="22"/>
              </w:rPr>
              <w:t>Regulationsas</w:t>
            </w:r>
            <w:proofErr w:type="spellEnd"/>
            <w:r w:rsidRPr="004E5DFF">
              <w:rPr>
                <w:szCs w:val="22"/>
              </w:rPr>
              <w:t xml:space="preserve"> revised by WRC-</w:t>
            </w:r>
            <w:r w:rsidRPr="004E5DFF">
              <w:rPr>
                <w:szCs w:val="22"/>
                <w:lang w:eastAsia="ja-JP"/>
              </w:rPr>
              <w:t>12</w:t>
            </w:r>
            <w:r w:rsidRPr="004E5DFF">
              <w:rPr>
                <w:szCs w:val="22"/>
              </w:rPr>
              <w:t xml:space="preserve"> and abrogation of </w:t>
            </w:r>
            <w:proofErr w:type="spellStart"/>
            <w:r w:rsidRPr="004E5DFF">
              <w:rPr>
                <w:szCs w:val="22"/>
              </w:rPr>
              <w:t>certainResolutions</w:t>
            </w:r>
            <w:proofErr w:type="spellEnd"/>
            <w:r w:rsidRPr="004E5DFF">
              <w:rPr>
                <w:szCs w:val="22"/>
              </w:rPr>
              <w:t xml:space="preserve"> and Recommendations</w:t>
            </w:r>
          </w:p>
        </w:tc>
        <w:tc>
          <w:tcPr>
            <w:tcW w:w="7223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jc w:val="center"/>
              <w:rPr>
                <w:szCs w:val="22"/>
              </w:rPr>
            </w:pPr>
            <w:r w:rsidRPr="004E5DFF">
              <w:rPr>
                <w:szCs w:val="22"/>
              </w:rPr>
              <w:t>–</w:t>
            </w:r>
          </w:p>
        </w:tc>
        <w:tc>
          <w:tcPr>
            <w:tcW w:w="1088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4E5DFF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auto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111</w:t>
            </w:r>
          </w:p>
        </w:tc>
        <w:tc>
          <w:tcPr>
            <w:tcW w:w="4395" w:type="dxa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>Planning of the FSS in18/20/30 GHz</w:t>
            </w:r>
          </w:p>
        </w:tc>
        <w:tc>
          <w:tcPr>
            <w:tcW w:w="7223" w:type="dxa"/>
          </w:tcPr>
          <w:p w:rsidR="00DD3B31" w:rsidRPr="00CA192C" w:rsidRDefault="00DD3B31" w:rsidP="0017209B">
            <w:pPr>
              <w:pStyle w:val="Tabletext"/>
              <w:rPr>
                <w:rStyle w:val="FootnoteReference"/>
                <w:color w:val="000000"/>
                <w:szCs w:val="22"/>
              </w:rPr>
            </w:pPr>
            <w:r w:rsidRPr="00CA192C">
              <w:rPr>
                <w:bCs/>
                <w:szCs w:val="22"/>
              </w:rPr>
              <w:t xml:space="preserve">Still </w:t>
            </w:r>
            <w:proofErr w:type="spellStart"/>
            <w:r w:rsidRPr="00CA192C">
              <w:rPr>
                <w:bCs/>
                <w:szCs w:val="22"/>
              </w:rPr>
              <w:t>relevant.</w:t>
            </w:r>
            <w:r w:rsidRPr="00CA192C">
              <w:rPr>
                <w:bCs/>
                <w:szCs w:val="22"/>
                <w:lang w:eastAsia="ja-JP"/>
              </w:rPr>
              <w:t>The</w:t>
            </w:r>
            <w:proofErr w:type="spellEnd"/>
            <w:r w:rsidRPr="00CA192C">
              <w:rPr>
                <w:bCs/>
                <w:szCs w:val="22"/>
                <w:lang w:eastAsia="ja-JP"/>
              </w:rPr>
              <w:t xml:space="preserve"> ITU-R study invited in this Resolution is still under way (not completed).</w:t>
            </w:r>
          </w:p>
        </w:tc>
        <w:tc>
          <w:tcPr>
            <w:tcW w:w="1088" w:type="dxa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</w:rPr>
            </w:pPr>
            <w:r w:rsidRPr="00CA192C">
              <w:rPr>
                <w:szCs w:val="22"/>
              </w:rPr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lastRenderedPageBreak/>
              <w:t>114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bCs/>
                <w:szCs w:val="22"/>
                <w:lang w:eastAsia="ja-JP"/>
              </w:rPr>
              <w:t xml:space="preserve">Compatibility between ARNS and </w:t>
            </w:r>
            <w:r w:rsidRPr="00CA192C">
              <w:rPr>
                <w:bCs/>
                <w:szCs w:val="22"/>
              </w:rPr>
              <w:t>FSS (feeder links for MSS) in 5 GHz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CA192C" w:rsidRDefault="00DD3B31" w:rsidP="0017209B">
            <w:pPr>
              <w:pStyle w:val="Tabletext"/>
              <w:rPr>
                <w:b/>
                <w:szCs w:val="22"/>
                <w:lang w:eastAsia="ja-JP"/>
              </w:rPr>
            </w:pPr>
            <w:r w:rsidRPr="00CA192C">
              <w:rPr>
                <w:szCs w:val="22"/>
              </w:rPr>
              <w:t>For consideration by WRC-</w:t>
            </w:r>
            <w:r w:rsidRPr="00CA192C">
              <w:rPr>
                <w:szCs w:val="22"/>
                <w:lang w:eastAsia="ja-JP"/>
              </w:rPr>
              <w:t>15 (</w:t>
            </w:r>
            <w:r w:rsidRPr="00CA192C">
              <w:rPr>
                <w:b/>
                <w:szCs w:val="22"/>
              </w:rPr>
              <w:t>Agenda item 1.</w:t>
            </w:r>
            <w:r w:rsidRPr="00CA192C">
              <w:rPr>
                <w:b/>
                <w:szCs w:val="22"/>
                <w:lang w:eastAsia="ja-JP"/>
              </w:rPr>
              <w:t>7)</w:t>
            </w:r>
            <w:r w:rsidRPr="00CA192C">
              <w:rPr>
                <w:b/>
                <w:szCs w:val="22"/>
              </w:rPr>
              <w:t>.</w:t>
            </w:r>
          </w:p>
          <w:p w:rsidR="00DD3B31" w:rsidRPr="00CA192C" w:rsidRDefault="00DD3B31" w:rsidP="0017209B">
            <w:pPr>
              <w:pStyle w:val="Tabletext"/>
              <w:rPr>
                <w:bCs/>
                <w:szCs w:val="22"/>
                <w:lang w:eastAsia="ja-JP"/>
              </w:rPr>
            </w:pPr>
            <w:r w:rsidRPr="00CA192C">
              <w:rPr>
                <w:bCs/>
                <w:szCs w:val="22"/>
              </w:rPr>
              <w:t>This Resolution is referred to in Nos. </w:t>
            </w:r>
            <w:r w:rsidRPr="00CA192C">
              <w:rPr>
                <w:b/>
                <w:bCs/>
                <w:szCs w:val="22"/>
              </w:rPr>
              <w:t>5.444</w:t>
            </w:r>
            <w:r w:rsidRPr="00CA192C">
              <w:rPr>
                <w:bCs/>
                <w:szCs w:val="22"/>
              </w:rPr>
              <w:t xml:space="preserve"> and </w:t>
            </w:r>
            <w:r w:rsidRPr="00CA192C">
              <w:rPr>
                <w:b/>
                <w:bCs/>
                <w:szCs w:val="22"/>
              </w:rPr>
              <w:t>5.444A</w:t>
            </w:r>
            <w:r w:rsidRPr="00CA192C">
              <w:rPr>
                <w:bCs/>
                <w:szCs w:val="22"/>
              </w:rPr>
              <w:t>.</w:t>
            </w:r>
          </w:p>
          <w:p w:rsidR="00DD3B31" w:rsidRPr="00CA192C" w:rsidRDefault="00DD3B31" w:rsidP="0017209B">
            <w:pPr>
              <w:pStyle w:val="Tabletext"/>
              <w:rPr>
                <w:rStyle w:val="FootnoteReference"/>
                <w:color w:val="000000"/>
                <w:szCs w:val="22"/>
                <w:lang w:eastAsia="ja-JP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122</w:t>
            </w:r>
          </w:p>
        </w:tc>
        <w:tc>
          <w:tcPr>
            <w:tcW w:w="4395" w:type="dxa"/>
            <w:shd w:val="clear" w:color="auto" w:fill="auto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bCs/>
                <w:szCs w:val="22"/>
                <w:lang w:eastAsia="ja-JP"/>
              </w:rPr>
              <w:t>Use of the bands</w:t>
            </w:r>
            <w:r w:rsidRPr="00CA192C">
              <w:rPr>
                <w:bCs/>
                <w:szCs w:val="22"/>
              </w:rPr>
              <w:t>47/48 GHz</w:t>
            </w:r>
            <w:r w:rsidRPr="00CA192C">
              <w:rPr>
                <w:bCs/>
                <w:szCs w:val="22"/>
                <w:lang w:eastAsia="ja-JP"/>
              </w:rPr>
              <w:t xml:space="preserve"> by HAPS and other services</w:t>
            </w:r>
          </w:p>
        </w:tc>
        <w:tc>
          <w:tcPr>
            <w:tcW w:w="7223" w:type="dxa"/>
            <w:shd w:val="clear" w:color="auto" w:fill="auto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bCs/>
                <w:szCs w:val="22"/>
                <w:lang w:eastAsia="ja-JP"/>
              </w:rPr>
              <w:t xml:space="preserve">Still </w:t>
            </w:r>
            <w:proofErr w:type="spellStart"/>
            <w:r w:rsidRPr="00CA192C">
              <w:rPr>
                <w:bCs/>
                <w:szCs w:val="22"/>
                <w:lang w:eastAsia="ja-JP"/>
              </w:rPr>
              <w:t>relevant.T</w:t>
            </w:r>
            <w:r w:rsidRPr="00CA192C">
              <w:rPr>
                <w:bCs/>
                <w:szCs w:val="22"/>
              </w:rPr>
              <w:t>his</w:t>
            </w:r>
            <w:proofErr w:type="spellEnd"/>
            <w:r w:rsidRPr="00CA192C">
              <w:rPr>
                <w:bCs/>
                <w:szCs w:val="22"/>
              </w:rPr>
              <w:t xml:space="preserve"> Resolution is referred to in No. </w:t>
            </w:r>
            <w:r w:rsidRPr="00CA192C">
              <w:rPr>
                <w:b/>
                <w:bCs/>
                <w:szCs w:val="22"/>
              </w:rPr>
              <w:t>5.552A</w:t>
            </w:r>
            <w:r w:rsidRPr="00CA192C">
              <w:rPr>
                <w:bCs/>
                <w:szCs w:val="22"/>
              </w:rPr>
              <w:t>.</w:t>
            </w:r>
          </w:p>
        </w:tc>
        <w:tc>
          <w:tcPr>
            <w:tcW w:w="1088" w:type="dxa"/>
            <w:shd w:val="clear" w:color="auto" w:fill="auto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125</w:t>
            </w:r>
          </w:p>
        </w:tc>
        <w:tc>
          <w:tcPr>
            <w:tcW w:w="4395" w:type="dxa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>Sharing MSS/RA in 1.6 GHz</w:t>
            </w:r>
          </w:p>
        </w:tc>
        <w:tc>
          <w:tcPr>
            <w:tcW w:w="7223" w:type="dxa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bCs/>
                <w:szCs w:val="22"/>
                <w:lang w:eastAsia="ja-JP"/>
              </w:rPr>
              <w:t>Updating of the version of the referenced Recommendations (RA.769 and M.1316) may be necessary. These are not incorporated by reference.</w:t>
            </w:r>
          </w:p>
        </w:tc>
        <w:tc>
          <w:tcPr>
            <w:tcW w:w="1088" w:type="dxa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140</w:t>
            </w:r>
          </w:p>
        </w:tc>
        <w:tc>
          <w:tcPr>
            <w:tcW w:w="4395" w:type="dxa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 xml:space="preserve">Equivalent </w:t>
            </w:r>
            <w:proofErr w:type="spellStart"/>
            <w:r w:rsidRPr="00CA192C">
              <w:rPr>
                <w:szCs w:val="22"/>
              </w:rPr>
              <w:t>epfd</w:t>
            </w:r>
            <w:proofErr w:type="spellEnd"/>
            <w:r w:rsidRPr="00CA192C">
              <w:rPr>
                <w:szCs w:val="22"/>
              </w:rPr>
              <w:t xml:space="preserve"> limits in 19.7-20.2 GHz</w:t>
            </w:r>
          </w:p>
        </w:tc>
        <w:tc>
          <w:tcPr>
            <w:tcW w:w="7223" w:type="dxa"/>
          </w:tcPr>
          <w:p w:rsidR="00DD3B31" w:rsidRPr="00CA192C" w:rsidRDefault="00DD3B31" w:rsidP="0017209B">
            <w:pPr>
              <w:pStyle w:val="Tabletext"/>
              <w:rPr>
                <w:rStyle w:val="FootnoteReference"/>
                <w:color w:val="000000"/>
                <w:szCs w:val="22"/>
              </w:rPr>
            </w:pPr>
            <w:r w:rsidRPr="00CA192C">
              <w:rPr>
                <w:bCs/>
                <w:szCs w:val="22"/>
                <w:lang w:eastAsia="ja-JP"/>
              </w:rPr>
              <w:t>Still relevant. There is no progress in the ITU-R study invited in this Resolution</w:t>
            </w:r>
            <w:r w:rsidRPr="00CA192C">
              <w:rPr>
                <w:bCs/>
                <w:i/>
                <w:szCs w:val="22"/>
                <w:lang w:eastAsia="ja-JP"/>
              </w:rPr>
              <w:t>.</w:t>
            </w:r>
            <w:r w:rsidRPr="00CA192C">
              <w:rPr>
                <w:bCs/>
                <w:szCs w:val="22"/>
                <w:lang w:eastAsia="ja-JP"/>
              </w:rPr>
              <w:t xml:space="preserve"> This Resolution is referred to in No. </w:t>
            </w:r>
            <w:r w:rsidRPr="00CA192C">
              <w:rPr>
                <w:b/>
                <w:bCs/>
                <w:szCs w:val="22"/>
                <w:lang w:eastAsia="ja-JP"/>
              </w:rPr>
              <w:t>22.5CA</w:t>
            </w:r>
            <w:r w:rsidRPr="00CA192C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088" w:type="dxa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  <w:highlight w:val="yellow"/>
              </w:rPr>
            </w:pPr>
            <w:r w:rsidRPr="00CA192C">
              <w:rPr>
                <w:szCs w:val="22"/>
              </w:rPr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142</w:t>
            </w:r>
          </w:p>
        </w:tc>
        <w:tc>
          <w:tcPr>
            <w:tcW w:w="4395" w:type="dxa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>Transitional arrangements for use of the band 11.7-12.2 GHz by GSO/FSS networks in Region 2</w:t>
            </w:r>
          </w:p>
        </w:tc>
        <w:tc>
          <w:tcPr>
            <w:tcW w:w="7223" w:type="dxa"/>
          </w:tcPr>
          <w:p w:rsidR="00DD3B31" w:rsidRPr="00CA192C" w:rsidRDefault="00DD3B31" w:rsidP="0017209B">
            <w:pPr>
              <w:pStyle w:val="Tabletext"/>
              <w:rPr>
                <w:rStyle w:val="FootnoteReference"/>
                <w:color w:val="000000"/>
                <w:szCs w:val="22"/>
              </w:rPr>
            </w:pPr>
            <w:r>
              <w:rPr>
                <w:bCs/>
                <w:szCs w:val="22"/>
                <w:lang w:eastAsia="ja-JP"/>
              </w:rPr>
              <w:t xml:space="preserve">CPM </w:t>
            </w:r>
            <w:proofErr w:type="spellStart"/>
            <w:r>
              <w:rPr>
                <w:bCs/>
                <w:szCs w:val="22"/>
                <w:lang w:eastAsia="ja-JP"/>
              </w:rPr>
              <w:t>Report</w:t>
            </w:r>
            <w:r>
              <w:rPr>
                <w:rFonts w:hint="eastAsia"/>
                <w:bCs/>
                <w:szCs w:val="22"/>
                <w:lang w:eastAsia="ja-JP"/>
              </w:rPr>
              <w:t>to</w:t>
            </w:r>
            <w:proofErr w:type="spellEnd"/>
            <w:r>
              <w:rPr>
                <w:rFonts w:hint="eastAsia"/>
                <w:bCs/>
                <w:szCs w:val="22"/>
                <w:lang w:eastAsia="ja-JP"/>
              </w:rPr>
              <w:t xml:space="preserve"> WRC12 </w:t>
            </w:r>
            <w:r w:rsidRPr="00CA192C">
              <w:rPr>
                <w:bCs/>
                <w:szCs w:val="22"/>
                <w:lang w:eastAsia="ja-JP"/>
              </w:rPr>
              <w:t>suggests that “</w:t>
            </w:r>
            <w:r w:rsidRPr="00CA192C">
              <w:rPr>
                <w:bCs/>
                <w:i/>
                <w:iCs/>
                <w:szCs w:val="22"/>
                <w:lang w:eastAsia="ja-JP"/>
              </w:rPr>
              <w:t>r</w:t>
            </w:r>
            <w:r w:rsidRPr="00CA192C">
              <w:rPr>
                <w:bCs/>
                <w:i/>
                <w:iCs/>
                <w:szCs w:val="22"/>
              </w:rPr>
              <w:t>esolves</w:t>
            </w:r>
            <w:r w:rsidRPr="00CA192C">
              <w:rPr>
                <w:bCs/>
                <w:szCs w:val="22"/>
              </w:rPr>
              <w:t xml:space="preserve"> 1, 2 and 4</w:t>
            </w:r>
            <w:r w:rsidRPr="00CA192C">
              <w:rPr>
                <w:bCs/>
                <w:szCs w:val="22"/>
                <w:lang w:eastAsia="ja-JP"/>
              </w:rPr>
              <w:t xml:space="preserve">” have been </w:t>
            </w:r>
            <w:r w:rsidRPr="00CA192C">
              <w:rPr>
                <w:bCs/>
                <w:szCs w:val="22"/>
              </w:rPr>
              <w:t>implemented</w:t>
            </w:r>
            <w:r w:rsidRPr="00CA192C">
              <w:rPr>
                <w:bCs/>
                <w:szCs w:val="22"/>
                <w:lang w:eastAsia="ja-JP"/>
              </w:rPr>
              <w:t>, however “</w:t>
            </w:r>
            <w:r w:rsidRPr="00CA192C">
              <w:rPr>
                <w:bCs/>
                <w:i/>
                <w:szCs w:val="22"/>
                <w:lang w:eastAsia="ja-JP"/>
              </w:rPr>
              <w:t>resolves</w:t>
            </w:r>
            <w:r w:rsidRPr="00CA192C">
              <w:rPr>
                <w:bCs/>
                <w:szCs w:val="22"/>
                <w:lang w:eastAsia="ja-JP"/>
              </w:rPr>
              <w:t xml:space="preserve"> 3” is still relevant.</w:t>
            </w:r>
          </w:p>
        </w:tc>
        <w:tc>
          <w:tcPr>
            <w:tcW w:w="1088" w:type="dxa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143</w:t>
            </w:r>
          </w:p>
        </w:tc>
        <w:tc>
          <w:tcPr>
            <w:tcW w:w="4395" w:type="dxa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>Guidelines for implementation of high-density applications in the FSS in identified frequency bands</w:t>
            </w:r>
          </w:p>
        </w:tc>
        <w:tc>
          <w:tcPr>
            <w:tcW w:w="7223" w:type="dxa"/>
          </w:tcPr>
          <w:p w:rsidR="00DD3B31" w:rsidRPr="00CA192C" w:rsidRDefault="00DD3B31" w:rsidP="0017209B">
            <w:pPr>
              <w:pStyle w:val="Tabletext"/>
              <w:rPr>
                <w:bCs/>
                <w:szCs w:val="22"/>
              </w:rPr>
            </w:pPr>
            <w:r w:rsidRPr="00CA192C">
              <w:rPr>
                <w:bCs/>
                <w:szCs w:val="22"/>
                <w:lang w:eastAsia="ja-JP"/>
              </w:rPr>
              <w:t xml:space="preserve">Still relevant. </w:t>
            </w:r>
            <w:r w:rsidRPr="00CA192C">
              <w:rPr>
                <w:bCs/>
                <w:szCs w:val="22"/>
              </w:rPr>
              <w:t>This Resolution is referred to in No. </w:t>
            </w:r>
            <w:r w:rsidRPr="00CA192C">
              <w:rPr>
                <w:b/>
                <w:bCs/>
                <w:szCs w:val="22"/>
              </w:rPr>
              <w:t>5.516B</w:t>
            </w:r>
            <w:r w:rsidRPr="00CA192C">
              <w:rPr>
                <w:bCs/>
                <w:szCs w:val="22"/>
              </w:rPr>
              <w:t>.</w:t>
            </w:r>
          </w:p>
          <w:p w:rsidR="00DD3B31" w:rsidRPr="00CA192C" w:rsidRDefault="00DD3B31" w:rsidP="0017209B">
            <w:pPr>
              <w:pStyle w:val="Tabletext"/>
              <w:rPr>
                <w:rStyle w:val="FootnoteReference"/>
                <w:color w:val="000000"/>
                <w:szCs w:val="22"/>
                <w:highlight w:val="yellow"/>
              </w:rPr>
            </w:pPr>
            <w:r w:rsidRPr="00CA192C">
              <w:rPr>
                <w:bCs/>
                <w:szCs w:val="22"/>
                <w:lang w:eastAsia="ja-JP"/>
              </w:rPr>
              <w:t>This Resolution does not request ITU-R to carry out studies.</w:t>
            </w:r>
          </w:p>
        </w:tc>
        <w:tc>
          <w:tcPr>
            <w:tcW w:w="1088" w:type="dxa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  <w:highlight w:val="yellow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144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bCs/>
                <w:szCs w:val="22"/>
              </w:rPr>
              <w:t xml:space="preserve">Special requirements </w:t>
            </w:r>
            <w:r w:rsidRPr="00CA192C">
              <w:rPr>
                <w:bCs/>
                <w:szCs w:val="22"/>
                <w:lang w:eastAsia="ja-JP"/>
              </w:rPr>
              <w:t xml:space="preserve">of geographically small countries </w:t>
            </w:r>
            <w:r w:rsidRPr="00CA192C">
              <w:rPr>
                <w:bCs/>
                <w:szCs w:val="22"/>
              </w:rPr>
              <w:t>operating earth stations in the FSS in the band 13.75-14 GHz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D3B31" w:rsidRPr="00CA192C" w:rsidRDefault="00DD3B31" w:rsidP="0017209B">
            <w:pPr>
              <w:pStyle w:val="Tabletext"/>
              <w:rPr>
                <w:rStyle w:val="FootnoteReference"/>
                <w:color w:val="000000"/>
                <w:szCs w:val="22"/>
                <w:highlight w:val="yellow"/>
              </w:rPr>
            </w:pPr>
            <w:r w:rsidRPr="00CA192C">
              <w:rPr>
                <w:bCs/>
                <w:szCs w:val="22"/>
                <w:lang w:eastAsia="ja-JP"/>
              </w:rPr>
              <w:t>Still relevant. There is little progress in the ITU-R study invited in this Resolution</w:t>
            </w:r>
            <w:r w:rsidRPr="00CA192C">
              <w:rPr>
                <w:szCs w:val="22"/>
              </w:rPr>
              <w:t>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  <w:highlight w:val="yellow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145</w:t>
            </w:r>
          </w:p>
        </w:tc>
        <w:tc>
          <w:tcPr>
            <w:tcW w:w="4395" w:type="dxa"/>
            <w:shd w:val="clear" w:color="auto" w:fill="auto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  <w:lang w:eastAsia="ja-JP"/>
              </w:rPr>
              <w:t>U</w:t>
            </w:r>
            <w:r w:rsidRPr="00CA192C">
              <w:rPr>
                <w:szCs w:val="22"/>
              </w:rPr>
              <w:t>se of the bands 27.5-28.35 GHz and 31-31.3 GHz by HAPS in the fixed service</w:t>
            </w:r>
          </w:p>
        </w:tc>
        <w:tc>
          <w:tcPr>
            <w:tcW w:w="7223" w:type="dxa"/>
            <w:shd w:val="clear" w:color="auto" w:fill="auto"/>
          </w:tcPr>
          <w:p w:rsidR="00DD3B31" w:rsidRPr="00CA192C" w:rsidRDefault="00DD3B31" w:rsidP="0017209B">
            <w:pPr>
              <w:pStyle w:val="Tabletext"/>
              <w:rPr>
                <w:rStyle w:val="FootnoteReference"/>
                <w:szCs w:val="22"/>
              </w:rPr>
            </w:pPr>
            <w:r w:rsidRPr="00CA192C">
              <w:rPr>
                <w:bCs/>
                <w:szCs w:val="22"/>
                <w:lang w:eastAsia="ja-JP"/>
              </w:rPr>
              <w:t xml:space="preserve">Still relevant. </w:t>
            </w:r>
            <w:r w:rsidRPr="00CA192C">
              <w:rPr>
                <w:bCs/>
                <w:szCs w:val="22"/>
              </w:rPr>
              <w:t>This Resolution is referred to in Nos. </w:t>
            </w:r>
            <w:r w:rsidRPr="00CA192C">
              <w:rPr>
                <w:b/>
                <w:bCs/>
                <w:szCs w:val="22"/>
              </w:rPr>
              <w:t>5.537A</w:t>
            </w:r>
            <w:r w:rsidRPr="00CA192C">
              <w:rPr>
                <w:bCs/>
                <w:szCs w:val="22"/>
              </w:rPr>
              <w:t xml:space="preserve"> and </w:t>
            </w:r>
            <w:r w:rsidRPr="00CA192C">
              <w:rPr>
                <w:b/>
                <w:bCs/>
                <w:szCs w:val="22"/>
              </w:rPr>
              <w:t>5.543A</w:t>
            </w:r>
            <w:r w:rsidRPr="00CA192C">
              <w:rPr>
                <w:bCs/>
                <w:szCs w:val="22"/>
                <w:lang w:eastAsia="ja-JP"/>
              </w:rPr>
              <w:t>. The ITU-R study invited in this Resolution has made little progress. The content of the requested study may be reviewed.</w:t>
            </w:r>
          </w:p>
        </w:tc>
        <w:tc>
          <w:tcPr>
            <w:tcW w:w="1088" w:type="dxa"/>
            <w:shd w:val="clear" w:color="auto" w:fill="auto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5504E8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5504E8">
              <w:rPr>
                <w:rFonts w:hint="eastAsia"/>
                <w:color w:val="000000"/>
                <w:lang w:eastAsia="ja-JP"/>
              </w:rPr>
              <w:t>147</w:t>
            </w:r>
          </w:p>
        </w:tc>
        <w:tc>
          <w:tcPr>
            <w:tcW w:w="4395" w:type="dxa"/>
          </w:tcPr>
          <w:p w:rsidR="00DD3B31" w:rsidRPr="00CA192C" w:rsidRDefault="00DD3B31" w:rsidP="0017209B">
            <w:pPr>
              <w:rPr>
                <w:sz w:val="22"/>
                <w:szCs w:val="22"/>
              </w:rPr>
            </w:pPr>
            <w:r w:rsidRPr="00CA192C">
              <w:rPr>
                <w:sz w:val="22"/>
                <w:szCs w:val="22"/>
              </w:rPr>
              <w:t>Power flux-density limits for certain systems in the fixed-satellite service using highly-inclined orbits having an apogee altitude greater than 18 000 km and an orbital inclination between 35° and 145° in the band 17.7-19.7 GHz</w:t>
            </w:r>
          </w:p>
        </w:tc>
        <w:tc>
          <w:tcPr>
            <w:tcW w:w="7223" w:type="dxa"/>
          </w:tcPr>
          <w:p w:rsidR="00DD3B31" w:rsidRPr="00CA192C" w:rsidRDefault="00DD3B31" w:rsidP="0017209B">
            <w:pPr>
              <w:rPr>
                <w:sz w:val="22"/>
                <w:szCs w:val="22"/>
              </w:rPr>
            </w:pPr>
            <w:r w:rsidRPr="00CA192C">
              <w:rPr>
                <w:bCs/>
                <w:sz w:val="22"/>
                <w:szCs w:val="22"/>
              </w:rPr>
              <w:t>Still relevant.</w:t>
            </w:r>
          </w:p>
        </w:tc>
        <w:tc>
          <w:tcPr>
            <w:tcW w:w="1088" w:type="dxa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5504E8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5504E8">
              <w:rPr>
                <w:rFonts w:hint="eastAsia"/>
                <w:color w:val="000000"/>
                <w:lang w:eastAsia="ja-JP"/>
              </w:rPr>
              <w:lastRenderedPageBreak/>
              <w:t>148</w:t>
            </w:r>
          </w:p>
        </w:tc>
        <w:tc>
          <w:tcPr>
            <w:tcW w:w="4395" w:type="dxa"/>
          </w:tcPr>
          <w:p w:rsidR="00DD3B31" w:rsidRPr="00CA192C" w:rsidRDefault="00DD3B31" w:rsidP="0017209B">
            <w:pPr>
              <w:pStyle w:val="Tabletext"/>
              <w:rPr>
                <w:szCs w:val="22"/>
                <w:lang w:eastAsia="ja-JP"/>
              </w:rPr>
            </w:pPr>
            <w:r w:rsidRPr="00CA192C">
              <w:rPr>
                <w:szCs w:val="22"/>
              </w:rPr>
              <w:t xml:space="preserve">Satellite systems formerly listed in Part B of the Plan of Appendix </w:t>
            </w:r>
            <w:r w:rsidRPr="003353EC">
              <w:rPr>
                <w:b/>
                <w:szCs w:val="22"/>
              </w:rPr>
              <w:t>30B</w:t>
            </w:r>
          </w:p>
        </w:tc>
        <w:tc>
          <w:tcPr>
            <w:tcW w:w="7223" w:type="dxa"/>
          </w:tcPr>
          <w:p w:rsidR="00DD3B31" w:rsidRPr="00CA192C" w:rsidRDefault="00DD3B31" w:rsidP="0017209B">
            <w:pPr>
              <w:rPr>
                <w:sz w:val="22"/>
                <w:szCs w:val="22"/>
              </w:rPr>
            </w:pPr>
            <w:r w:rsidRPr="00CA192C">
              <w:rPr>
                <w:bCs/>
                <w:sz w:val="22"/>
                <w:szCs w:val="22"/>
              </w:rPr>
              <w:t>Still relevant.</w:t>
            </w:r>
          </w:p>
        </w:tc>
        <w:tc>
          <w:tcPr>
            <w:tcW w:w="1088" w:type="dxa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5504E8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5504E8">
              <w:rPr>
                <w:rFonts w:hint="eastAsia"/>
                <w:color w:val="000000"/>
                <w:lang w:eastAsia="ja-JP"/>
              </w:rPr>
              <w:t>149</w:t>
            </w:r>
          </w:p>
        </w:tc>
        <w:tc>
          <w:tcPr>
            <w:tcW w:w="4395" w:type="dxa"/>
          </w:tcPr>
          <w:p w:rsidR="00DD3B31" w:rsidRPr="00CA192C" w:rsidRDefault="00DD3B31" w:rsidP="0017209B">
            <w:pPr>
              <w:rPr>
                <w:sz w:val="22"/>
                <w:szCs w:val="22"/>
              </w:rPr>
            </w:pPr>
            <w:r w:rsidRPr="00CA192C">
              <w:rPr>
                <w:sz w:val="22"/>
                <w:szCs w:val="22"/>
              </w:rPr>
              <w:t xml:space="preserve">Submissions from new Member States of the Union relating to Appendix </w:t>
            </w:r>
            <w:r w:rsidRPr="003353EC">
              <w:rPr>
                <w:b/>
                <w:sz w:val="22"/>
                <w:szCs w:val="22"/>
              </w:rPr>
              <w:t>30B</w:t>
            </w:r>
            <w:r w:rsidRPr="00CA192C">
              <w:rPr>
                <w:sz w:val="22"/>
                <w:szCs w:val="22"/>
              </w:rPr>
              <w:t xml:space="preserve"> of the Radio Regulations</w:t>
            </w:r>
          </w:p>
        </w:tc>
        <w:tc>
          <w:tcPr>
            <w:tcW w:w="7223" w:type="dxa"/>
          </w:tcPr>
          <w:p w:rsidR="00DD3B31" w:rsidRPr="00CA192C" w:rsidRDefault="00DD3B31" w:rsidP="0017209B">
            <w:pPr>
              <w:rPr>
                <w:sz w:val="22"/>
                <w:szCs w:val="22"/>
              </w:rPr>
            </w:pPr>
            <w:r w:rsidRPr="00CA192C">
              <w:rPr>
                <w:bCs/>
                <w:sz w:val="22"/>
                <w:szCs w:val="22"/>
              </w:rPr>
              <w:t xml:space="preserve">This Resolution could be suppressed since most </w:t>
            </w:r>
            <w:r w:rsidRPr="00CA192C">
              <w:rPr>
                <w:bCs/>
                <w:i/>
                <w:iCs/>
                <w:sz w:val="22"/>
                <w:szCs w:val="22"/>
              </w:rPr>
              <w:t>resolves</w:t>
            </w:r>
            <w:r w:rsidRPr="00CA192C">
              <w:rPr>
                <w:bCs/>
                <w:sz w:val="22"/>
                <w:szCs w:val="22"/>
              </w:rPr>
              <w:t xml:space="preserve"> and all </w:t>
            </w:r>
            <w:r w:rsidRPr="00CA192C">
              <w:rPr>
                <w:bCs/>
                <w:i/>
                <w:iCs/>
                <w:sz w:val="22"/>
                <w:szCs w:val="22"/>
              </w:rPr>
              <w:t>instructs</w:t>
            </w:r>
            <w:r w:rsidRPr="00CA192C">
              <w:rPr>
                <w:bCs/>
                <w:sz w:val="22"/>
                <w:szCs w:val="22"/>
              </w:rPr>
              <w:t xml:space="preserve"> have been implemented as suggested by the CPM Report</w:t>
            </w:r>
            <w:r>
              <w:rPr>
                <w:rFonts w:eastAsia="Times New Roman" w:hint="eastAsia"/>
                <w:bCs/>
                <w:sz w:val="22"/>
                <w:szCs w:val="22"/>
                <w:lang w:eastAsia="ja-JP"/>
              </w:rPr>
              <w:t xml:space="preserve"> to WRC-12</w:t>
            </w:r>
            <w:r w:rsidRPr="00CA192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88" w:type="dxa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C3181B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C3181B">
              <w:rPr>
                <w:rFonts w:hint="eastAsia"/>
                <w:lang w:eastAsia="ja-JP"/>
              </w:rPr>
              <w:t>150</w:t>
            </w:r>
          </w:p>
        </w:tc>
        <w:tc>
          <w:tcPr>
            <w:tcW w:w="4395" w:type="dxa"/>
            <w:shd w:val="clear" w:color="auto" w:fill="auto"/>
          </w:tcPr>
          <w:p w:rsidR="00DD3B31" w:rsidRPr="00C3181B" w:rsidRDefault="00DD3B31" w:rsidP="0017209B">
            <w:pPr>
              <w:pStyle w:val="Tabletext"/>
              <w:rPr>
                <w:szCs w:val="22"/>
              </w:rPr>
            </w:pPr>
            <w:r w:rsidRPr="00C3181B">
              <w:rPr>
                <w:szCs w:val="22"/>
              </w:rPr>
              <w:t>Use of the bands 6 440-6 520 MHz and 6 560-6 640 MHz by gateway links for high-altitude platform stations in the fixed service</w:t>
            </w:r>
          </w:p>
        </w:tc>
        <w:tc>
          <w:tcPr>
            <w:tcW w:w="7223" w:type="dxa"/>
            <w:shd w:val="clear" w:color="auto" w:fill="auto"/>
          </w:tcPr>
          <w:p w:rsidR="00DD3B31" w:rsidRPr="00C3181B" w:rsidRDefault="00DD3B31" w:rsidP="0017209B">
            <w:pPr>
              <w:pStyle w:val="Tabletext"/>
              <w:jc w:val="center"/>
              <w:rPr>
                <w:szCs w:val="22"/>
              </w:rPr>
            </w:pPr>
            <w:r w:rsidRPr="00C3181B">
              <w:rPr>
                <w:szCs w:val="22"/>
              </w:rPr>
              <w:t>–</w:t>
            </w:r>
          </w:p>
        </w:tc>
        <w:tc>
          <w:tcPr>
            <w:tcW w:w="1088" w:type="dxa"/>
            <w:shd w:val="clear" w:color="auto" w:fill="auto"/>
          </w:tcPr>
          <w:p w:rsidR="00DD3B31" w:rsidRPr="00C318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3181B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151</w:t>
            </w:r>
          </w:p>
        </w:tc>
        <w:tc>
          <w:tcPr>
            <w:tcW w:w="4395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rPr>
                <w:szCs w:val="22"/>
                <w:lang w:eastAsia="ja-JP"/>
              </w:rPr>
            </w:pPr>
            <w:r w:rsidRPr="00752BA2">
              <w:rPr>
                <w:szCs w:val="22"/>
              </w:rPr>
              <w:t>Additional primary allocations to the fixed-satellite service (FSS) in frequency bands between 10 and 17 GHz in Region 1</w:t>
            </w:r>
          </w:p>
        </w:tc>
        <w:tc>
          <w:tcPr>
            <w:tcW w:w="7223" w:type="dxa"/>
            <w:shd w:val="clear" w:color="auto" w:fill="BFBFBF"/>
          </w:tcPr>
          <w:p w:rsidR="00DD3B31" w:rsidRPr="00752BA2" w:rsidRDefault="00DD3B31" w:rsidP="0017209B">
            <w:pPr>
              <w:rPr>
                <w:sz w:val="22"/>
                <w:szCs w:val="22"/>
              </w:rPr>
            </w:pPr>
            <w:r w:rsidRPr="00752BA2">
              <w:rPr>
                <w:sz w:val="22"/>
                <w:szCs w:val="22"/>
              </w:rPr>
              <w:t>For consideration by WRC-15 (</w:t>
            </w:r>
            <w:r w:rsidRPr="00752BA2">
              <w:rPr>
                <w:b/>
                <w:sz w:val="22"/>
                <w:szCs w:val="22"/>
              </w:rPr>
              <w:t>Agenda item 1.6.2).</w:t>
            </w:r>
          </w:p>
        </w:tc>
        <w:tc>
          <w:tcPr>
            <w:tcW w:w="1088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752BA2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BFBFBF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152</w:t>
            </w:r>
          </w:p>
        </w:tc>
        <w:tc>
          <w:tcPr>
            <w:tcW w:w="4395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rPr>
                <w:szCs w:val="22"/>
                <w:lang w:eastAsia="ja-JP"/>
              </w:rPr>
            </w:pPr>
            <w:r w:rsidRPr="00752BA2">
              <w:rPr>
                <w:szCs w:val="22"/>
              </w:rPr>
              <w:t xml:space="preserve">Additional primary allocations to the fixed-satellite service (FSS) in the Earth-to-space direction </w:t>
            </w:r>
            <w:r w:rsidRPr="00752BA2">
              <w:rPr>
                <w:szCs w:val="22"/>
                <w:lang w:eastAsia="ja-JP"/>
              </w:rPr>
              <w:t xml:space="preserve">in frequency range13 – 17 GHz bands </w:t>
            </w:r>
            <w:r w:rsidRPr="00752BA2">
              <w:rPr>
                <w:szCs w:val="22"/>
              </w:rPr>
              <w:t>in Region 2 and Region 3</w:t>
            </w:r>
          </w:p>
        </w:tc>
        <w:tc>
          <w:tcPr>
            <w:tcW w:w="7223" w:type="dxa"/>
            <w:shd w:val="clear" w:color="auto" w:fill="BFBFBF"/>
          </w:tcPr>
          <w:p w:rsidR="00DD3B31" w:rsidRPr="00752BA2" w:rsidRDefault="00DD3B31" w:rsidP="0017209B">
            <w:pPr>
              <w:rPr>
                <w:sz w:val="22"/>
                <w:szCs w:val="22"/>
              </w:rPr>
            </w:pPr>
            <w:r w:rsidRPr="00752BA2">
              <w:rPr>
                <w:sz w:val="22"/>
                <w:szCs w:val="22"/>
              </w:rPr>
              <w:t>For consideration by WRC-15 (</w:t>
            </w:r>
            <w:r w:rsidRPr="00752BA2">
              <w:rPr>
                <w:b/>
                <w:sz w:val="22"/>
                <w:szCs w:val="22"/>
              </w:rPr>
              <w:t>Agenda item 1.6.2).</w:t>
            </w:r>
          </w:p>
        </w:tc>
        <w:tc>
          <w:tcPr>
            <w:tcW w:w="1088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752BA2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BFBFBF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153</w:t>
            </w:r>
          </w:p>
        </w:tc>
        <w:tc>
          <w:tcPr>
            <w:tcW w:w="4395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rPr>
                <w:szCs w:val="22"/>
              </w:rPr>
            </w:pPr>
            <w:r w:rsidRPr="00752BA2">
              <w:rPr>
                <w:szCs w:val="22"/>
              </w:rPr>
              <w:t>To consider the use of frequency bands allocated to the fixed-satellite service not subject to Appendices 30, 30A and 30B for the control and non-payload communications of unmanned aircraft systems in non-segregated airspaces</w:t>
            </w:r>
          </w:p>
        </w:tc>
        <w:tc>
          <w:tcPr>
            <w:tcW w:w="7223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rPr>
                <w:szCs w:val="22"/>
              </w:rPr>
            </w:pPr>
            <w:r w:rsidRPr="00752BA2">
              <w:rPr>
                <w:szCs w:val="22"/>
              </w:rPr>
              <w:t>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1.</w:t>
            </w:r>
            <w:r w:rsidRPr="00752BA2">
              <w:rPr>
                <w:b/>
                <w:szCs w:val="22"/>
                <w:lang w:eastAsia="ja-JP"/>
              </w:rPr>
              <w:t>5)</w:t>
            </w:r>
            <w:r w:rsidRPr="00752BA2">
              <w:rPr>
                <w:b/>
                <w:szCs w:val="22"/>
              </w:rPr>
              <w:t>.</w:t>
            </w:r>
          </w:p>
        </w:tc>
        <w:tc>
          <w:tcPr>
            <w:tcW w:w="1088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752BA2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BFBFBF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C0C0C0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154</w:t>
            </w:r>
          </w:p>
        </w:tc>
        <w:tc>
          <w:tcPr>
            <w:tcW w:w="4395" w:type="dxa"/>
            <w:shd w:val="clear" w:color="auto" w:fill="C0C0C0"/>
          </w:tcPr>
          <w:p w:rsidR="00DD3B31" w:rsidRPr="004E5DFF" w:rsidRDefault="00DD3B31" w:rsidP="0017209B">
            <w:pPr>
              <w:pStyle w:val="Tabletext"/>
              <w:rPr>
                <w:szCs w:val="22"/>
              </w:rPr>
            </w:pPr>
            <w:r w:rsidRPr="004E5DFF">
              <w:rPr>
                <w:szCs w:val="22"/>
              </w:rPr>
              <w:t xml:space="preserve">Consideration of technical and regulatory actions in order to support existing and future operation of fixed-satellite service earth stations within </w:t>
            </w:r>
            <w:proofErr w:type="spellStart"/>
            <w:r w:rsidRPr="004E5DFF">
              <w:rPr>
                <w:szCs w:val="22"/>
              </w:rPr>
              <w:t>theband</w:t>
            </w:r>
            <w:proofErr w:type="spellEnd"/>
            <w:r w:rsidRPr="004E5DFF">
              <w:rPr>
                <w:szCs w:val="22"/>
              </w:rPr>
              <w:t xml:space="preserve"> 3 400-4 200 MHz, as an aid to the safe operation of aircraft and reliable distribution of meteorological information in some countries in Region 1</w:t>
            </w:r>
          </w:p>
        </w:tc>
        <w:tc>
          <w:tcPr>
            <w:tcW w:w="7223" w:type="dxa"/>
            <w:shd w:val="clear" w:color="auto" w:fill="C0C0C0"/>
          </w:tcPr>
          <w:p w:rsidR="00DD3B31" w:rsidRPr="004E5DFF" w:rsidRDefault="00DD3B31" w:rsidP="0017209B">
            <w:pPr>
              <w:pStyle w:val="Tabletext"/>
              <w:rPr>
                <w:szCs w:val="22"/>
                <w:lang w:eastAsia="ja-JP"/>
              </w:rPr>
            </w:pPr>
            <w:r w:rsidRPr="00752BA2">
              <w:rPr>
                <w:szCs w:val="22"/>
              </w:rPr>
              <w:t xml:space="preserve"> 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</w:t>
            </w:r>
            <w:r>
              <w:rPr>
                <w:rFonts w:hint="eastAsia"/>
                <w:b/>
                <w:szCs w:val="22"/>
                <w:lang w:eastAsia="ja-JP"/>
              </w:rPr>
              <w:t>9</w:t>
            </w:r>
            <w:r w:rsidRPr="00752BA2">
              <w:rPr>
                <w:b/>
                <w:szCs w:val="22"/>
              </w:rPr>
              <w:t>.</w:t>
            </w:r>
            <w:r>
              <w:rPr>
                <w:rFonts w:hint="eastAsia"/>
                <w:b/>
                <w:szCs w:val="22"/>
                <w:lang w:eastAsia="ja-JP"/>
              </w:rPr>
              <w:t>1.5</w:t>
            </w:r>
            <w:r w:rsidRPr="00752BA2">
              <w:rPr>
                <w:b/>
                <w:szCs w:val="22"/>
                <w:lang w:eastAsia="ja-JP"/>
              </w:rPr>
              <w:t>)</w:t>
            </w:r>
          </w:p>
        </w:tc>
        <w:tc>
          <w:tcPr>
            <w:tcW w:w="1088" w:type="dxa"/>
            <w:shd w:val="clear" w:color="auto" w:fill="C0C0C0"/>
          </w:tcPr>
          <w:p w:rsidR="00DD3B31" w:rsidRPr="004E5DFF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4E5DFF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C0C0C0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C0C0C0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lastRenderedPageBreak/>
              <w:t>205</w:t>
            </w:r>
          </w:p>
        </w:tc>
        <w:tc>
          <w:tcPr>
            <w:tcW w:w="4395" w:type="dxa"/>
            <w:shd w:val="clear" w:color="auto" w:fill="C0C0C0"/>
          </w:tcPr>
          <w:p w:rsidR="00DD3B31" w:rsidRPr="002C2BBD" w:rsidRDefault="00DD3B31" w:rsidP="0017209B">
            <w:pPr>
              <w:pStyle w:val="Tabletext"/>
              <w:rPr>
                <w:lang w:eastAsia="ja-JP"/>
              </w:rPr>
            </w:pPr>
            <w:r w:rsidRPr="00686E4E">
              <w:t>Protection of the systems operating in the mobile-satellite service in the band 406-406.1</w:t>
            </w:r>
            <w:r w:rsidRPr="00686E4E">
              <w:rPr>
                <w:szCs w:val="28"/>
              </w:rPr>
              <w:t> MHz</w:t>
            </w:r>
          </w:p>
        </w:tc>
        <w:tc>
          <w:tcPr>
            <w:tcW w:w="7223" w:type="dxa"/>
            <w:shd w:val="clear" w:color="auto" w:fill="C0C0C0"/>
          </w:tcPr>
          <w:p w:rsidR="00DD3B31" w:rsidRPr="002C2BBD" w:rsidRDefault="00DD3B31" w:rsidP="0017209B">
            <w:pPr>
              <w:pStyle w:val="Tabletext"/>
              <w:rPr>
                <w:rStyle w:val="FootnoteReference"/>
                <w:color w:val="000000"/>
              </w:rPr>
            </w:pPr>
            <w:r w:rsidRPr="00752BA2">
              <w:rPr>
                <w:szCs w:val="22"/>
              </w:rPr>
              <w:t>For consideration by WRC-15 (</w:t>
            </w:r>
            <w:r w:rsidRPr="00752BA2">
              <w:rPr>
                <w:b/>
                <w:szCs w:val="22"/>
              </w:rPr>
              <w:t>Agenda item </w:t>
            </w:r>
            <w:r>
              <w:rPr>
                <w:rFonts w:hint="eastAsia"/>
                <w:b/>
                <w:szCs w:val="22"/>
                <w:lang w:eastAsia="ja-JP"/>
              </w:rPr>
              <w:t>9</w:t>
            </w:r>
            <w:r w:rsidRPr="00752BA2">
              <w:rPr>
                <w:b/>
                <w:szCs w:val="22"/>
              </w:rPr>
              <w:t>.</w:t>
            </w:r>
            <w:r>
              <w:rPr>
                <w:rFonts w:hint="eastAsia"/>
                <w:b/>
                <w:szCs w:val="22"/>
                <w:lang w:eastAsia="ja-JP"/>
              </w:rPr>
              <w:t>1</w:t>
            </w:r>
            <w:r w:rsidRPr="00752BA2">
              <w:rPr>
                <w:b/>
                <w:szCs w:val="22"/>
              </w:rPr>
              <w:t>.</w:t>
            </w:r>
            <w:r>
              <w:rPr>
                <w:rFonts w:hint="eastAsia"/>
                <w:b/>
                <w:szCs w:val="22"/>
                <w:lang w:eastAsia="ja-JP"/>
              </w:rPr>
              <w:t>1</w:t>
            </w:r>
            <w:r w:rsidRPr="00752BA2">
              <w:rPr>
                <w:b/>
                <w:szCs w:val="22"/>
              </w:rPr>
              <w:t>).</w:t>
            </w:r>
          </w:p>
        </w:tc>
        <w:tc>
          <w:tcPr>
            <w:tcW w:w="1088" w:type="dxa"/>
            <w:shd w:val="clear" w:color="auto" w:fill="C0C0C0"/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  <w:shd w:val="clear" w:color="auto" w:fill="C0C0C0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trHeight w:val="668"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207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</w:pPr>
            <w:r w:rsidRPr="00686E4E">
              <w:rPr>
                <w:bCs/>
                <w:lang w:eastAsia="ja-JP"/>
              </w:rPr>
              <w:t>Measures to address unauthorized use of frequencies in the band allocated to the</w:t>
            </w:r>
            <w:r w:rsidRPr="00686E4E">
              <w:rPr>
                <w:bCs/>
              </w:rPr>
              <w:t xml:space="preserve"> MMS/AM(R)S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:rsidR="00DD3B31" w:rsidRPr="002C2BBD" w:rsidRDefault="00DD3B31" w:rsidP="0017209B">
            <w:pPr>
              <w:pStyle w:val="Tabletext"/>
              <w:rPr>
                <w:rStyle w:val="FootnoteReference"/>
                <w:color w:val="000000"/>
              </w:rPr>
            </w:pPr>
            <w:r w:rsidRPr="002207DE">
              <w:rPr>
                <w:bCs/>
              </w:rPr>
              <w:t>Still relevant; text recently updated. Monitoring reports regularly posted on the ITU website.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212</w:t>
            </w:r>
          </w:p>
        </w:tc>
        <w:tc>
          <w:tcPr>
            <w:tcW w:w="4395" w:type="dxa"/>
            <w:shd w:val="clear" w:color="auto" w:fill="auto"/>
          </w:tcPr>
          <w:p w:rsidR="00DD3B31" w:rsidRPr="002C2BBD" w:rsidRDefault="00DD3B31" w:rsidP="0017209B">
            <w:pPr>
              <w:pStyle w:val="Tabletext"/>
            </w:pPr>
            <w:r w:rsidRPr="002C2BBD">
              <w:t>Implementation of IMT-2000</w:t>
            </w:r>
          </w:p>
        </w:tc>
        <w:tc>
          <w:tcPr>
            <w:tcW w:w="7223" w:type="dxa"/>
            <w:shd w:val="clear" w:color="auto" w:fill="auto"/>
          </w:tcPr>
          <w:p w:rsidR="00DD3B31" w:rsidRPr="002C2BBD" w:rsidRDefault="00DD3B31" w:rsidP="0017209B">
            <w:pPr>
              <w:pStyle w:val="Tabletext"/>
            </w:pPr>
            <w:r w:rsidRPr="002207DE">
              <w:rPr>
                <w:bCs/>
                <w:lang w:eastAsia="ja-JP"/>
              </w:rPr>
              <w:t xml:space="preserve">Still </w:t>
            </w:r>
            <w:proofErr w:type="spellStart"/>
            <w:r w:rsidRPr="002207DE">
              <w:rPr>
                <w:bCs/>
                <w:lang w:eastAsia="ja-JP"/>
              </w:rPr>
              <w:t>relevant.</w:t>
            </w:r>
            <w:r w:rsidRPr="002207DE">
              <w:rPr>
                <w:bCs/>
              </w:rPr>
              <w:t>This</w:t>
            </w:r>
            <w:proofErr w:type="spellEnd"/>
            <w:r w:rsidRPr="002207DE">
              <w:rPr>
                <w:bCs/>
              </w:rPr>
              <w:t xml:space="preserve"> Resolution is referred to in Nos. </w:t>
            </w:r>
            <w:r w:rsidRPr="00CA192C">
              <w:rPr>
                <w:b/>
                <w:bCs/>
              </w:rPr>
              <w:t>5.351A</w:t>
            </w:r>
            <w:r w:rsidRPr="002207DE">
              <w:rPr>
                <w:bCs/>
              </w:rPr>
              <w:t xml:space="preserve"> and </w:t>
            </w:r>
            <w:r w:rsidRPr="00CA192C">
              <w:rPr>
                <w:b/>
                <w:bCs/>
              </w:rPr>
              <w:t>5.388</w:t>
            </w:r>
            <w:r w:rsidRPr="002207DE">
              <w:rPr>
                <w:bCs/>
              </w:rPr>
              <w:t>.</w:t>
            </w:r>
          </w:p>
        </w:tc>
        <w:tc>
          <w:tcPr>
            <w:tcW w:w="1088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215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686E4E">
              <w:rPr>
                <w:bCs/>
              </w:rPr>
              <w:t>Coordination among MSS</w:t>
            </w:r>
            <w:r w:rsidRPr="00686E4E">
              <w:rPr>
                <w:bCs/>
                <w:lang w:eastAsia="ja-JP"/>
              </w:rPr>
              <w:t xml:space="preserve"> in the band 1-3 GHz</w:t>
            </w:r>
          </w:p>
        </w:tc>
        <w:tc>
          <w:tcPr>
            <w:tcW w:w="7223" w:type="dxa"/>
          </w:tcPr>
          <w:p w:rsidR="00DD3B31" w:rsidRPr="002207DE" w:rsidRDefault="00DD3B31" w:rsidP="0017209B">
            <w:pPr>
              <w:pStyle w:val="Tabletext"/>
              <w:rPr>
                <w:bCs/>
                <w:lang w:eastAsia="ja-JP"/>
              </w:rPr>
            </w:pPr>
            <w:r w:rsidRPr="002207DE">
              <w:rPr>
                <w:bCs/>
                <w:lang w:eastAsia="ja-JP"/>
              </w:rPr>
              <w:t>The ITU-R study invited in this Resolution is still under way.</w:t>
            </w:r>
          </w:p>
          <w:p w:rsidR="00DD3B31" w:rsidRPr="002C2BBD" w:rsidRDefault="00DD3B31" w:rsidP="0017209B">
            <w:pPr>
              <w:pStyle w:val="Tabletext"/>
            </w:pPr>
            <w:r w:rsidRPr="002207DE">
              <w:rPr>
                <w:bCs/>
                <w:lang w:eastAsia="ja-JP"/>
              </w:rPr>
              <w:t>Updating of the referenced Resolution 46 (already suppressed) or the version of the referenced Recommendations (M.1186 and M.1187) may be necessary, if it is retained. These are not incorporat</w:t>
            </w:r>
            <w:r>
              <w:rPr>
                <w:bCs/>
                <w:lang w:eastAsia="ja-JP"/>
              </w:rPr>
              <w:t>ed</w:t>
            </w:r>
            <w:r w:rsidRPr="002207DE">
              <w:rPr>
                <w:bCs/>
                <w:lang w:eastAsia="ja-JP"/>
              </w:rPr>
              <w:t xml:space="preserve"> by referen</w:t>
            </w:r>
            <w:r w:rsidRPr="00860F96">
              <w:rPr>
                <w:bCs/>
                <w:lang w:eastAsia="ja-JP"/>
              </w:rPr>
              <w:t>ce.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MOD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217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2C2BBD">
              <w:t>Wind profiler radars</w:t>
            </w:r>
          </w:p>
        </w:tc>
        <w:tc>
          <w:tcPr>
            <w:tcW w:w="7223" w:type="dxa"/>
          </w:tcPr>
          <w:p w:rsidR="00DD3B31" w:rsidRPr="002207DE" w:rsidRDefault="00DD3B31" w:rsidP="0017209B">
            <w:pPr>
              <w:pStyle w:val="Tabletext"/>
              <w:rPr>
                <w:bCs/>
              </w:rPr>
            </w:pPr>
            <w:r w:rsidRPr="002207DE">
              <w:rPr>
                <w:bCs/>
              </w:rPr>
              <w:t>This Resolution is referred to in Nos. </w:t>
            </w:r>
            <w:r w:rsidRPr="00CA192C">
              <w:rPr>
                <w:b/>
                <w:bCs/>
              </w:rPr>
              <w:t>5.162A</w:t>
            </w:r>
            <w:r w:rsidRPr="002207DE">
              <w:rPr>
                <w:bCs/>
              </w:rPr>
              <w:t xml:space="preserve"> and </w:t>
            </w:r>
            <w:r w:rsidRPr="00CA192C">
              <w:rPr>
                <w:b/>
                <w:bCs/>
              </w:rPr>
              <w:t>5.291A</w:t>
            </w:r>
            <w:r w:rsidRPr="002207DE">
              <w:rPr>
                <w:bCs/>
              </w:rPr>
              <w:t>.</w:t>
            </w:r>
          </w:p>
          <w:p w:rsidR="00DD3B31" w:rsidRPr="002C2BBD" w:rsidRDefault="00DD3B31" w:rsidP="0017209B">
            <w:pPr>
              <w:pStyle w:val="Tabletext"/>
            </w:pPr>
            <w:r w:rsidRPr="002207DE">
              <w:rPr>
                <w:bCs/>
                <w:lang w:eastAsia="ja-JP"/>
              </w:rPr>
              <w:t>Updating of the referenced Recommendations (M.1085&lt;already deleted&gt;, M.1226 and M.1227) may be necessary. These are not incorporat</w:t>
            </w:r>
            <w:r>
              <w:rPr>
                <w:bCs/>
                <w:lang w:eastAsia="ja-JP"/>
              </w:rPr>
              <w:t>ed</w:t>
            </w:r>
            <w:r w:rsidRPr="002207DE">
              <w:rPr>
                <w:bCs/>
                <w:lang w:eastAsia="ja-JP"/>
              </w:rPr>
              <w:t xml:space="preserve"> by reference.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221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</w:pPr>
            <w:r w:rsidRPr="002C2BBD">
              <w:t>HAPS for IMT-2000 in the bands around 2 GHz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D3B31" w:rsidRPr="002207DE" w:rsidRDefault="00DD3B31" w:rsidP="0017209B">
            <w:pPr>
              <w:pStyle w:val="Tabletext"/>
              <w:rPr>
                <w:bCs/>
              </w:rPr>
            </w:pPr>
            <w:r w:rsidRPr="002207DE">
              <w:rPr>
                <w:bCs/>
              </w:rPr>
              <w:t>This Resolution is referred to in No. </w:t>
            </w:r>
            <w:r w:rsidRPr="00CA192C">
              <w:rPr>
                <w:b/>
                <w:bCs/>
              </w:rPr>
              <w:t>5.388A</w:t>
            </w:r>
            <w:r w:rsidRPr="002207DE">
              <w:rPr>
                <w:bCs/>
              </w:rPr>
              <w:t>.</w:t>
            </w:r>
          </w:p>
          <w:p w:rsidR="00DD3B31" w:rsidRPr="002C2BBD" w:rsidRDefault="00DD3B31" w:rsidP="0017209B">
            <w:pPr>
              <w:pStyle w:val="Tabletext"/>
            </w:pPr>
            <w:r w:rsidRPr="002207DE">
              <w:rPr>
                <w:bCs/>
                <w:lang w:eastAsia="ja-JP"/>
              </w:rPr>
              <w:t>Still relevant. The ITU-R study invited in this Resolution has made little progress.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2C2BBD"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222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D3B31" w:rsidRPr="002C2BBD" w:rsidRDefault="00DD3B31" w:rsidP="0017209B">
            <w:pPr>
              <w:pStyle w:val="Tabletext"/>
            </w:pPr>
            <w:r w:rsidRPr="00686E4E">
              <w:t>Use of the frequency bands</w:t>
            </w:r>
            <w:r w:rsidRPr="0094447D">
              <w:rPr>
                <w:szCs w:val="28"/>
              </w:rPr>
              <w:t xml:space="preserve"> 1 525-1 559 MHz and 1 626.5-1 660.5</w:t>
            </w:r>
            <w:r w:rsidRPr="00686E4E">
              <w:t> MHz by the mobile-satellite service</w:t>
            </w:r>
            <w:r w:rsidRPr="00686E4E">
              <w:rPr>
                <w:lang w:eastAsia="ja-JP"/>
              </w:rPr>
              <w:t>, and procedures to ensure long-term spectrum access for the aeronautical mobile-satellite (R) service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:rsidR="00DD3B31" w:rsidRPr="002C2BBD" w:rsidRDefault="00DD3B31" w:rsidP="0017209B">
            <w:pPr>
              <w:pStyle w:val="Tabletext"/>
            </w:pPr>
            <w:r w:rsidRPr="002207DE">
              <w:rPr>
                <w:bCs/>
                <w:lang w:eastAsia="ja-JP"/>
              </w:rPr>
              <w:t>Modifications are proposed to clarify use of AMS(R</w:t>
            </w:r>
            <w:proofErr w:type="gramStart"/>
            <w:r w:rsidRPr="002207DE">
              <w:rPr>
                <w:bCs/>
                <w:lang w:eastAsia="ja-JP"/>
              </w:rPr>
              <w:t>)S</w:t>
            </w:r>
            <w:proofErr w:type="gramEnd"/>
            <w:r w:rsidRPr="002207DE">
              <w:rPr>
                <w:bCs/>
                <w:lang w:eastAsia="ja-JP"/>
              </w:rPr>
              <w:t xml:space="preserve"> spectrum in these bands (see </w:t>
            </w:r>
            <w:r w:rsidRPr="002207DE">
              <w:rPr>
                <w:bCs/>
              </w:rPr>
              <w:t>ASP/</w:t>
            </w:r>
            <w:r w:rsidRPr="002207DE">
              <w:rPr>
                <w:bCs/>
                <w:lang w:eastAsia="ja-JP"/>
              </w:rPr>
              <w:t>26A7</w:t>
            </w:r>
            <w:r w:rsidRPr="002207DE">
              <w:rPr>
                <w:bCs/>
              </w:rPr>
              <w:t>/</w:t>
            </w:r>
            <w:r w:rsidRPr="002207DE">
              <w:rPr>
                <w:bCs/>
                <w:lang w:eastAsia="ja-JP"/>
              </w:rPr>
              <w:t>5</w:t>
            </w:r>
            <w:r w:rsidRPr="002207DE">
              <w:rPr>
                <w:bCs/>
              </w:rPr>
              <w:t xml:space="preserve"> under WRC-</w:t>
            </w:r>
            <w:r w:rsidRPr="002207DE">
              <w:rPr>
                <w:bCs/>
                <w:lang w:eastAsia="ja-JP"/>
              </w:rPr>
              <w:t>12</w:t>
            </w:r>
            <w:r w:rsidRPr="002207DE">
              <w:rPr>
                <w:bCs/>
              </w:rPr>
              <w:t xml:space="preserve"> Agenda item </w:t>
            </w:r>
            <w:r w:rsidRPr="002207DE">
              <w:rPr>
                <w:bCs/>
                <w:lang w:eastAsia="ja-JP"/>
              </w:rPr>
              <w:t>1.7).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223</w:t>
            </w:r>
          </w:p>
        </w:tc>
        <w:tc>
          <w:tcPr>
            <w:tcW w:w="4395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rPr>
                <w:lang w:eastAsia="ja-JP"/>
              </w:rPr>
            </w:pPr>
            <w:r w:rsidRPr="002C2BBD">
              <w:t>Additional bands identified for IMT</w:t>
            </w:r>
          </w:p>
        </w:tc>
        <w:tc>
          <w:tcPr>
            <w:tcW w:w="7223" w:type="dxa"/>
            <w:shd w:val="clear" w:color="auto" w:fill="auto"/>
          </w:tcPr>
          <w:p w:rsidR="00DD3B31" w:rsidRPr="002207DE" w:rsidRDefault="00DD3B31" w:rsidP="0017209B">
            <w:pPr>
              <w:pStyle w:val="Tabletext"/>
              <w:rPr>
                <w:bCs/>
                <w:lang w:eastAsia="ja-JP"/>
              </w:rPr>
            </w:pPr>
            <w:r w:rsidRPr="002207DE">
              <w:rPr>
                <w:bCs/>
                <w:lang w:eastAsia="ja-JP"/>
              </w:rPr>
              <w:t xml:space="preserve">Still relevant. </w:t>
            </w:r>
            <w:r w:rsidRPr="002207DE">
              <w:rPr>
                <w:bCs/>
              </w:rPr>
              <w:t>This Resolution is referred to in Nos</w:t>
            </w:r>
            <w:r w:rsidRPr="002207DE">
              <w:rPr>
                <w:bCs/>
                <w:lang w:eastAsia="ja-JP"/>
              </w:rPr>
              <w:t>.</w:t>
            </w:r>
            <w:r w:rsidRPr="002207DE">
              <w:rPr>
                <w:bCs/>
              </w:rPr>
              <w:t> </w:t>
            </w:r>
            <w:r w:rsidRPr="00CA192C">
              <w:rPr>
                <w:b/>
                <w:bCs/>
              </w:rPr>
              <w:t>5.384A</w:t>
            </w:r>
            <w:r w:rsidRPr="002207DE">
              <w:rPr>
                <w:bCs/>
              </w:rPr>
              <w:t xml:space="preserve"> and </w:t>
            </w:r>
            <w:r w:rsidRPr="00CA192C">
              <w:rPr>
                <w:b/>
                <w:bCs/>
              </w:rPr>
              <w:t>5.388</w:t>
            </w:r>
            <w:r w:rsidRPr="002207DE">
              <w:rPr>
                <w:bCs/>
              </w:rPr>
              <w:t>.</w:t>
            </w:r>
          </w:p>
          <w:p w:rsidR="00DD3B31" w:rsidRPr="002C2BBD" w:rsidRDefault="00DD3B31" w:rsidP="0017209B">
            <w:pPr>
              <w:pStyle w:val="Tabletext"/>
            </w:pPr>
            <w:r w:rsidRPr="002207DE">
              <w:rPr>
                <w:bCs/>
                <w:lang w:eastAsia="ja-JP"/>
              </w:rPr>
              <w:t>The ITU-R study invited in this Resolution has made fair progress</w:t>
            </w:r>
            <w:r w:rsidRPr="002207DE">
              <w:rPr>
                <w:bCs/>
                <w:color w:val="000000"/>
                <w:lang w:eastAsia="ja-JP"/>
              </w:rPr>
              <w:t xml:space="preserve"> but not completed</w:t>
            </w:r>
            <w:r w:rsidRPr="002207DE">
              <w:rPr>
                <w:bCs/>
                <w:lang w:eastAsia="ja-JP"/>
              </w:rPr>
              <w:t xml:space="preserve">. </w:t>
            </w:r>
            <w:r w:rsidRPr="002207DE">
              <w:rPr>
                <w:bCs/>
                <w:i/>
                <w:iCs/>
                <w:lang w:eastAsia="ja-JP"/>
              </w:rPr>
              <w:t>Invites ITU</w:t>
            </w:r>
            <w:r w:rsidRPr="002207DE">
              <w:rPr>
                <w:bCs/>
                <w:i/>
                <w:iCs/>
                <w:lang w:eastAsia="ja-JP"/>
              </w:rPr>
              <w:noBreakHyphen/>
              <w:t>R</w:t>
            </w:r>
            <w:r w:rsidRPr="002207DE">
              <w:rPr>
                <w:bCs/>
                <w:lang w:eastAsia="ja-JP"/>
              </w:rPr>
              <w:t xml:space="preserve"> may be reviewed including editorial changes.</w:t>
            </w:r>
          </w:p>
        </w:tc>
        <w:tc>
          <w:tcPr>
            <w:tcW w:w="1088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lastRenderedPageBreak/>
              <w:t>224</w:t>
            </w:r>
          </w:p>
        </w:tc>
        <w:tc>
          <w:tcPr>
            <w:tcW w:w="4395" w:type="dxa"/>
            <w:shd w:val="clear" w:color="auto" w:fill="auto"/>
          </w:tcPr>
          <w:p w:rsidR="00DD3B31" w:rsidRPr="002C2BBD" w:rsidRDefault="00DD3B31" w:rsidP="0017209B">
            <w:pPr>
              <w:pStyle w:val="Tabletext"/>
            </w:pPr>
            <w:r w:rsidRPr="002C2BBD">
              <w:t>Frequency bands for the t</w:t>
            </w:r>
            <w:r>
              <w:t>errestrial component of IMT</w:t>
            </w:r>
            <w:r w:rsidRPr="002C2BBD">
              <w:t xml:space="preserve"> below 1 GHz.</w:t>
            </w:r>
          </w:p>
        </w:tc>
        <w:tc>
          <w:tcPr>
            <w:tcW w:w="7223" w:type="dxa"/>
            <w:shd w:val="clear" w:color="auto" w:fill="auto"/>
          </w:tcPr>
          <w:p w:rsidR="00DD3B31" w:rsidRPr="002207DE" w:rsidRDefault="00DD3B31" w:rsidP="0017209B">
            <w:pPr>
              <w:pStyle w:val="Tabletext"/>
              <w:rPr>
                <w:bCs/>
                <w:lang w:eastAsia="ja-JP"/>
              </w:rPr>
            </w:pPr>
            <w:r w:rsidRPr="002207DE">
              <w:rPr>
                <w:bCs/>
                <w:lang w:eastAsia="ja-JP"/>
              </w:rPr>
              <w:t xml:space="preserve">Still relevant. </w:t>
            </w:r>
            <w:r w:rsidRPr="002207DE">
              <w:rPr>
                <w:bCs/>
              </w:rPr>
              <w:t>This Resolution is referred to in No. </w:t>
            </w:r>
            <w:r w:rsidRPr="00CA192C">
              <w:rPr>
                <w:b/>
                <w:bCs/>
              </w:rPr>
              <w:t>5.317A</w:t>
            </w:r>
            <w:r w:rsidRPr="002207DE">
              <w:rPr>
                <w:bCs/>
              </w:rPr>
              <w:t>.</w:t>
            </w:r>
          </w:p>
          <w:p w:rsidR="00DD3B31" w:rsidRPr="002C2BBD" w:rsidRDefault="00DD3B31" w:rsidP="0017209B">
            <w:pPr>
              <w:pStyle w:val="Tabletext"/>
            </w:pPr>
            <w:r w:rsidRPr="002207DE">
              <w:rPr>
                <w:bCs/>
                <w:lang w:eastAsia="ja-JP"/>
              </w:rPr>
              <w:t>The ITU-R study invited in this Resolution has made fair progress</w:t>
            </w:r>
            <w:r w:rsidRPr="002207DE">
              <w:rPr>
                <w:bCs/>
                <w:color w:val="000000"/>
                <w:lang w:eastAsia="ja-JP"/>
              </w:rPr>
              <w:t xml:space="preserve"> but not completed</w:t>
            </w:r>
            <w:r w:rsidRPr="002207DE">
              <w:rPr>
                <w:bCs/>
                <w:lang w:eastAsia="ja-JP"/>
              </w:rPr>
              <w:t>. Modification to reflect this progress may be needed.</w:t>
            </w:r>
          </w:p>
        </w:tc>
        <w:tc>
          <w:tcPr>
            <w:tcW w:w="1088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225</w:t>
            </w:r>
          </w:p>
        </w:tc>
        <w:tc>
          <w:tcPr>
            <w:tcW w:w="4395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rPr>
                <w:lang w:eastAsia="ja-JP"/>
              </w:rPr>
            </w:pPr>
            <w:r w:rsidRPr="002C2BBD">
              <w:t>Use of additional bands for the</w:t>
            </w:r>
            <w:r>
              <w:t xml:space="preserve"> satellite component of IMT</w:t>
            </w:r>
          </w:p>
        </w:tc>
        <w:tc>
          <w:tcPr>
            <w:tcW w:w="7223" w:type="dxa"/>
            <w:shd w:val="clear" w:color="auto" w:fill="auto"/>
          </w:tcPr>
          <w:p w:rsidR="00DD3B31" w:rsidRPr="002C2BBD" w:rsidRDefault="00DD3B31" w:rsidP="0017209B">
            <w:pPr>
              <w:pStyle w:val="Tabletext"/>
            </w:pPr>
            <w:r w:rsidRPr="002207DE">
              <w:rPr>
                <w:bCs/>
                <w:lang w:eastAsia="ja-JP"/>
              </w:rPr>
              <w:t>Still relevant. T</w:t>
            </w:r>
            <w:r w:rsidRPr="002207DE">
              <w:rPr>
                <w:bCs/>
              </w:rPr>
              <w:t>his Resolution is referred to in No. </w:t>
            </w:r>
            <w:r w:rsidRPr="00CA192C">
              <w:rPr>
                <w:b/>
                <w:bCs/>
              </w:rPr>
              <w:t>5.3</w:t>
            </w:r>
            <w:r w:rsidRPr="00CA192C">
              <w:rPr>
                <w:b/>
                <w:bCs/>
                <w:lang w:eastAsia="ja-JP"/>
              </w:rPr>
              <w:t>51A</w:t>
            </w:r>
            <w:r w:rsidRPr="002207DE">
              <w:rPr>
                <w:bCs/>
              </w:rPr>
              <w:t>.</w:t>
            </w:r>
            <w:r w:rsidRPr="002207DE">
              <w:rPr>
                <w:bCs/>
                <w:lang w:eastAsia="ja-JP"/>
              </w:rPr>
              <w:t xml:space="preserve"> The result of WRC-07 needs to be reflected (the bands 2 500-2 520 MHz and 2 670-2 690 MHz are allocated to the MSS only in Region 3).</w:t>
            </w:r>
          </w:p>
        </w:tc>
        <w:tc>
          <w:tcPr>
            <w:tcW w:w="1088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229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</w:pPr>
            <w:r w:rsidRPr="002C2BBD">
              <w:t>Use of bands 5</w:t>
            </w:r>
            <w:r>
              <w:t> </w:t>
            </w:r>
            <w:r w:rsidRPr="002C2BBD">
              <w:t>150-5</w:t>
            </w:r>
            <w:r>
              <w:t> </w:t>
            </w:r>
            <w:r w:rsidRPr="002C2BBD">
              <w:t>250 MHz, 5</w:t>
            </w:r>
            <w:r>
              <w:t> </w:t>
            </w:r>
            <w:r w:rsidRPr="002C2BBD">
              <w:t>250-5</w:t>
            </w:r>
            <w:r>
              <w:t> </w:t>
            </w:r>
            <w:r w:rsidRPr="002C2BBD">
              <w:t>350 MHz and 5</w:t>
            </w:r>
            <w:r>
              <w:t> </w:t>
            </w:r>
            <w:r w:rsidRPr="002C2BBD">
              <w:t>470-5</w:t>
            </w:r>
            <w:r>
              <w:t> </w:t>
            </w:r>
            <w:r w:rsidRPr="002C2BBD">
              <w:t>725 MHz for WAS including RLAN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D3B31" w:rsidRPr="002207DE" w:rsidRDefault="00DD3B31" w:rsidP="0017209B">
            <w:pPr>
              <w:pStyle w:val="Tabletext"/>
              <w:rPr>
                <w:bCs/>
              </w:rPr>
            </w:pPr>
            <w:r w:rsidRPr="002207DE">
              <w:rPr>
                <w:bCs/>
                <w:lang w:eastAsia="ja-JP"/>
              </w:rPr>
              <w:t xml:space="preserve">Still relevant. </w:t>
            </w:r>
            <w:r w:rsidRPr="002207DE">
              <w:rPr>
                <w:bCs/>
              </w:rPr>
              <w:t>This Resolution is referred to in Nos. </w:t>
            </w:r>
            <w:r w:rsidRPr="00CA192C">
              <w:rPr>
                <w:b/>
                <w:bCs/>
              </w:rPr>
              <w:t>5.446A</w:t>
            </w:r>
            <w:r w:rsidRPr="002207DE">
              <w:rPr>
                <w:bCs/>
              </w:rPr>
              <w:t xml:space="preserve">, </w:t>
            </w:r>
            <w:r w:rsidRPr="00CA192C">
              <w:rPr>
                <w:b/>
                <w:bCs/>
              </w:rPr>
              <w:t>5.447</w:t>
            </w:r>
            <w:r w:rsidRPr="002207DE">
              <w:rPr>
                <w:bCs/>
              </w:rPr>
              <w:t xml:space="preserve"> and</w:t>
            </w:r>
            <w:r w:rsidRPr="00CA192C">
              <w:rPr>
                <w:b/>
                <w:bCs/>
              </w:rPr>
              <w:t xml:space="preserve"> 5.453</w:t>
            </w:r>
            <w:r w:rsidRPr="002207DE">
              <w:rPr>
                <w:bCs/>
              </w:rPr>
              <w:t>.</w:t>
            </w:r>
          </w:p>
          <w:p w:rsidR="00DD3B31" w:rsidRPr="002207DE" w:rsidRDefault="00DD3B31" w:rsidP="0017209B">
            <w:pPr>
              <w:pStyle w:val="Tabletext"/>
              <w:rPr>
                <w:bCs/>
                <w:lang w:eastAsia="ja-JP"/>
              </w:rPr>
            </w:pPr>
            <w:r w:rsidRPr="002207DE">
              <w:rPr>
                <w:bCs/>
                <w:lang w:eastAsia="ja-JP"/>
              </w:rPr>
              <w:t>The ITU-R studies invited in this Resolution have made fair progress. Recommendation ITU-R M.1652 incorporated by reference in this Resolution is being revised.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232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pStyle w:val="Tabletext"/>
            </w:pPr>
            <w:r w:rsidRPr="00752BA2">
              <w:rPr>
                <w:rFonts w:hint="eastAsia"/>
                <w:lang w:val="en-US" w:eastAsia="ja-JP"/>
              </w:rPr>
              <w:t>U</w:t>
            </w:r>
            <w:r w:rsidRPr="00752BA2">
              <w:rPr>
                <w:lang w:eastAsia="nl-NL"/>
              </w:rPr>
              <w:t>se of the frequency band 694-790 MHz by the mobile, except aeronautical mobile, service in Region 1 and related studies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pStyle w:val="Tabletext"/>
            </w:pPr>
            <w:r w:rsidRPr="00752BA2">
              <w:t>For consideration by WRC-</w:t>
            </w:r>
            <w:r w:rsidRPr="00752BA2">
              <w:rPr>
                <w:rFonts w:hint="eastAsia"/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rFonts w:hint="eastAsia"/>
                <w:b/>
                <w:lang w:eastAsia="ja-JP"/>
              </w:rPr>
              <w:t>2)</w:t>
            </w:r>
            <w:r w:rsidRPr="00752BA2">
              <w:rPr>
                <w:b/>
              </w:rPr>
              <w:t>.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BFBFBF"/>
          </w:tcPr>
          <w:p w:rsidR="00DD3B31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233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pStyle w:val="Tabletext"/>
              <w:rPr>
                <w:lang w:val="en-US" w:eastAsia="ja-JP"/>
              </w:rPr>
            </w:pPr>
            <w:r w:rsidRPr="00752BA2">
              <w:t>Studies on frequency-related matters on International Mobile Telecommunications and other terrestrial mobile broadband applications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pStyle w:val="Tabletext"/>
            </w:pPr>
            <w:r w:rsidRPr="00752BA2">
              <w:t>For consideration by WRC-</w:t>
            </w:r>
            <w:r w:rsidRPr="00752BA2">
              <w:rPr>
                <w:rFonts w:hint="eastAsia"/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rFonts w:hint="eastAsia"/>
                <w:b/>
                <w:lang w:eastAsia="ja-JP"/>
              </w:rPr>
              <w:t>1)</w:t>
            </w:r>
            <w:r w:rsidRPr="00752BA2">
              <w:rPr>
                <w:b/>
              </w:rPr>
              <w:t>.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BFBFBF"/>
          </w:tcPr>
          <w:p w:rsidR="00DD3B31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234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pStyle w:val="Tabletext"/>
            </w:pPr>
            <w:r w:rsidRPr="00752BA2">
              <w:t xml:space="preserve">Additional primary allocations to the mobile-satellite service within the bands </w:t>
            </w:r>
            <w:r w:rsidRPr="00752BA2">
              <w:rPr>
                <w:rFonts w:hint="eastAsia"/>
                <w:lang w:eastAsia="ja-JP"/>
              </w:rPr>
              <w:t>between</w:t>
            </w:r>
            <w:r w:rsidRPr="00752BA2">
              <w:t xml:space="preserve"> 22</w:t>
            </w:r>
            <w:r w:rsidRPr="00752BA2">
              <w:rPr>
                <w:rFonts w:hint="eastAsia"/>
                <w:lang w:eastAsia="ja-JP"/>
              </w:rPr>
              <w:t xml:space="preserve"> to 26</w:t>
            </w:r>
            <w:r w:rsidRPr="00752BA2">
              <w:t> GHz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pStyle w:val="Tabletext"/>
            </w:pPr>
            <w:r w:rsidRPr="00752BA2">
              <w:t>For consideration by WRC-</w:t>
            </w:r>
            <w:r w:rsidRPr="00752BA2">
              <w:rPr>
                <w:rFonts w:hint="eastAsia"/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rFonts w:hint="eastAsia"/>
                <w:b/>
                <w:lang w:eastAsia="ja-JP"/>
              </w:rPr>
              <w:t>10)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BFBFBF"/>
          </w:tcPr>
          <w:p w:rsidR="00DD3B31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331</w:t>
            </w:r>
          </w:p>
        </w:tc>
        <w:tc>
          <w:tcPr>
            <w:tcW w:w="4395" w:type="dxa"/>
            <w:shd w:val="clear" w:color="auto" w:fill="auto"/>
          </w:tcPr>
          <w:p w:rsidR="00DD3B31" w:rsidRPr="002C2BBD" w:rsidRDefault="00DD3B31" w:rsidP="0017209B">
            <w:pPr>
              <w:pStyle w:val="Tabletext"/>
            </w:pPr>
            <w:r>
              <w:rPr>
                <w:rFonts w:hint="eastAsia"/>
                <w:lang w:eastAsia="ja-JP"/>
              </w:rPr>
              <w:t>Operation of</w:t>
            </w:r>
            <w:r w:rsidRPr="002C2BBD">
              <w:t xml:space="preserve"> the GMDSS</w:t>
            </w:r>
          </w:p>
        </w:tc>
        <w:tc>
          <w:tcPr>
            <w:tcW w:w="7223" w:type="dxa"/>
            <w:shd w:val="clear" w:color="auto" w:fill="auto"/>
          </w:tcPr>
          <w:p w:rsidR="00DD3B31" w:rsidRPr="002C2BBD" w:rsidRDefault="00DD3B31" w:rsidP="0017209B">
            <w:pPr>
              <w:pStyle w:val="Tabletext"/>
            </w:pPr>
            <w:r w:rsidRPr="002207DE">
              <w:rPr>
                <w:bCs/>
                <w:lang w:eastAsia="ja-JP"/>
              </w:rPr>
              <w:t>Still relevant. IMO still requires VHF channel 16 watch</w:t>
            </w:r>
            <w:r>
              <w:rPr>
                <w:bCs/>
                <w:lang w:eastAsia="ja-JP"/>
              </w:rPr>
              <w:t>-</w:t>
            </w:r>
            <w:r w:rsidRPr="002207DE">
              <w:rPr>
                <w:bCs/>
                <w:lang w:eastAsia="ja-JP"/>
              </w:rPr>
              <w:t>keeping by SOLAS ships and coast stations for the foreseeable future, and the frequency 2 182 kHz is still important for distress and safety communications by voice.</w:t>
            </w:r>
          </w:p>
        </w:tc>
        <w:tc>
          <w:tcPr>
            <w:tcW w:w="1088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trHeight w:val="668"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339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</w:pPr>
            <w:r w:rsidRPr="002C2BBD">
              <w:t>Coordination of NAVTEX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:rsidR="00DD3B31" w:rsidRPr="002C2BBD" w:rsidRDefault="00DD3B31" w:rsidP="0017209B">
            <w:pPr>
              <w:pStyle w:val="Tabletext"/>
              <w:rPr>
                <w:lang w:eastAsia="ja-JP"/>
              </w:rPr>
            </w:pPr>
            <w:r w:rsidRPr="002207DE">
              <w:rPr>
                <w:bCs/>
                <w:color w:val="000000"/>
                <w:lang w:eastAsia="ja-JP"/>
              </w:rPr>
              <w:t>Still relevant</w:t>
            </w:r>
            <w:r>
              <w:rPr>
                <w:bCs/>
                <w:color w:val="000000"/>
                <w:lang w:eastAsia="ja-JP"/>
              </w:rPr>
              <w:t>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343</w:t>
            </w:r>
          </w:p>
        </w:tc>
        <w:tc>
          <w:tcPr>
            <w:tcW w:w="4395" w:type="dxa"/>
            <w:shd w:val="clear" w:color="auto" w:fill="auto"/>
          </w:tcPr>
          <w:p w:rsidR="00DD3B31" w:rsidRPr="002C2BBD" w:rsidRDefault="00DD3B31" w:rsidP="0017209B">
            <w:pPr>
              <w:pStyle w:val="Tabletext"/>
            </w:pPr>
            <w:r w:rsidRPr="002C2BBD">
              <w:t xml:space="preserve">Certificates </w:t>
            </w:r>
            <w:r>
              <w:rPr>
                <w:rFonts w:hint="eastAsia"/>
                <w:lang w:eastAsia="ja-JP"/>
              </w:rPr>
              <w:t xml:space="preserve">for </w:t>
            </w:r>
            <w:r w:rsidRPr="002C2BBD">
              <w:t>vessels using GMDSS equipment on a non-compulsory basis</w:t>
            </w:r>
          </w:p>
        </w:tc>
        <w:tc>
          <w:tcPr>
            <w:tcW w:w="7223" w:type="dxa"/>
            <w:shd w:val="clear" w:color="auto" w:fill="auto"/>
          </w:tcPr>
          <w:p w:rsidR="00DD3B31" w:rsidRPr="002C2BBD" w:rsidRDefault="00DD3B31" w:rsidP="0017209B">
            <w:pPr>
              <w:pStyle w:val="Tabletext"/>
            </w:pPr>
            <w:r w:rsidRPr="002207DE">
              <w:rPr>
                <w:bCs/>
                <w:lang w:eastAsia="ja-JP"/>
              </w:rPr>
              <w:t>Still relevant. The outdated descriptions and harmonization with Article 47, which was revised by WRC-07, may need to be modified.</w:t>
            </w:r>
          </w:p>
        </w:tc>
        <w:tc>
          <w:tcPr>
            <w:tcW w:w="1088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lastRenderedPageBreak/>
              <w:t>344</w:t>
            </w:r>
          </w:p>
        </w:tc>
        <w:tc>
          <w:tcPr>
            <w:tcW w:w="4395" w:type="dxa"/>
            <w:shd w:val="clear" w:color="auto" w:fill="auto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bCs/>
                <w:szCs w:val="22"/>
                <w:lang w:eastAsia="ja-JP"/>
              </w:rPr>
              <w:t xml:space="preserve">Management of </w:t>
            </w:r>
            <w:proofErr w:type="spellStart"/>
            <w:r>
              <w:rPr>
                <w:rFonts w:hint="eastAsia"/>
                <w:bCs/>
                <w:szCs w:val="22"/>
                <w:lang w:eastAsia="ja-JP"/>
              </w:rPr>
              <w:t>maritime</w:t>
            </w:r>
            <w:r w:rsidRPr="00CA192C">
              <w:rPr>
                <w:bCs/>
                <w:szCs w:val="22"/>
                <w:lang w:eastAsia="ja-JP"/>
              </w:rPr>
              <w:t>identity</w:t>
            </w:r>
            <w:proofErr w:type="spellEnd"/>
            <w:r w:rsidRPr="00CA192C">
              <w:rPr>
                <w:bCs/>
                <w:szCs w:val="22"/>
                <w:lang w:eastAsia="ja-JP"/>
              </w:rPr>
              <w:t xml:space="preserve"> </w:t>
            </w:r>
            <w:r>
              <w:rPr>
                <w:rFonts w:hint="eastAsia"/>
                <w:bCs/>
                <w:szCs w:val="22"/>
                <w:lang w:eastAsia="ja-JP"/>
              </w:rPr>
              <w:t xml:space="preserve">numbering </w:t>
            </w:r>
            <w:r w:rsidRPr="00CA192C">
              <w:rPr>
                <w:bCs/>
                <w:szCs w:val="22"/>
                <w:lang w:eastAsia="ja-JP"/>
              </w:rPr>
              <w:t>resource</w:t>
            </w:r>
          </w:p>
        </w:tc>
        <w:tc>
          <w:tcPr>
            <w:tcW w:w="7223" w:type="dxa"/>
            <w:shd w:val="clear" w:color="auto" w:fill="auto"/>
          </w:tcPr>
          <w:p w:rsidR="00DD3B31" w:rsidRPr="00CA192C" w:rsidRDefault="00DD3B31" w:rsidP="0017209B">
            <w:pPr>
              <w:pStyle w:val="Tabletext"/>
              <w:rPr>
                <w:b/>
                <w:szCs w:val="22"/>
              </w:rPr>
            </w:pPr>
            <w:r w:rsidRPr="00CA192C">
              <w:rPr>
                <w:bCs/>
                <w:szCs w:val="22"/>
                <w:lang w:eastAsia="ja-JP"/>
              </w:rPr>
              <w:t>Still relevant. The ITU-R studies invited in this Resolution have made fair progress. Recommendation ITU-R M.585 incorporated by reference in this Resolution has been revised. Also, the use of MMSI is expanding to AIS and its related systems. The outdated descriptions need to be modified.</w:t>
            </w:r>
          </w:p>
        </w:tc>
        <w:tc>
          <w:tcPr>
            <w:tcW w:w="1088" w:type="dxa"/>
            <w:shd w:val="clear" w:color="auto" w:fill="auto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349</w:t>
            </w:r>
          </w:p>
        </w:tc>
        <w:tc>
          <w:tcPr>
            <w:tcW w:w="4395" w:type="dxa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bCs/>
                <w:szCs w:val="22"/>
                <w:lang w:eastAsia="ja-JP"/>
              </w:rPr>
              <w:t>Procedures for cancelling f</w:t>
            </w:r>
            <w:r w:rsidRPr="00CA192C">
              <w:rPr>
                <w:bCs/>
                <w:szCs w:val="22"/>
              </w:rPr>
              <w:t>alse alerts in GMDSS</w:t>
            </w:r>
          </w:p>
        </w:tc>
        <w:tc>
          <w:tcPr>
            <w:tcW w:w="7223" w:type="dxa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bCs/>
                <w:szCs w:val="22"/>
                <w:lang w:eastAsia="ja-JP"/>
              </w:rPr>
              <w:t>Still relevant. The texts relating to the procedures for cancelling false alerts, e.g. Annexes 1, 2 and 3, need to be harmonized with Article 32 revised by WRC-07.</w:t>
            </w:r>
          </w:p>
        </w:tc>
        <w:tc>
          <w:tcPr>
            <w:tcW w:w="1088" w:type="dxa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352</w:t>
            </w:r>
          </w:p>
        </w:tc>
        <w:tc>
          <w:tcPr>
            <w:tcW w:w="4395" w:type="dxa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>Use of carrier frequencies 12 290 kHz and 16 420 kHz for safety</w:t>
            </w:r>
            <w:r>
              <w:rPr>
                <w:rFonts w:hint="eastAsia"/>
                <w:szCs w:val="22"/>
                <w:lang w:eastAsia="ja-JP"/>
              </w:rPr>
              <w:t>-</w:t>
            </w:r>
            <w:r w:rsidRPr="00CA192C">
              <w:rPr>
                <w:szCs w:val="22"/>
              </w:rPr>
              <w:t xml:space="preserve">related calling to and from </w:t>
            </w:r>
            <w:r w:rsidRPr="00CA192C">
              <w:rPr>
                <w:bCs/>
                <w:szCs w:val="22"/>
                <w:lang w:eastAsia="ja-JP"/>
              </w:rPr>
              <w:t>resource coordination centre</w:t>
            </w:r>
          </w:p>
        </w:tc>
        <w:tc>
          <w:tcPr>
            <w:tcW w:w="7223" w:type="dxa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>Still relevant.</w:t>
            </w:r>
          </w:p>
        </w:tc>
        <w:tc>
          <w:tcPr>
            <w:tcW w:w="1088" w:type="dxa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</w:rPr>
            </w:pPr>
            <w:r w:rsidRPr="00CA192C">
              <w:rPr>
                <w:szCs w:val="22"/>
              </w:rPr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5504E8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5504E8">
              <w:rPr>
                <w:rFonts w:hint="eastAsia"/>
                <w:color w:val="000000"/>
                <w:lang w:eastAsia="ja-JP"/>
              </w:rPr>
              <w:t>354</w:t>
            </w:r>
          </w:p>
        </w:tc>
        <w:tc>
          <w:tcPr>
            <w:tcW w:w="4395" w:type="dxa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>Distress and safety radiotelephony procedures for 2 182 kHz</w:t>
            </w:r>
          </w:p>
        </w:tc>
        <w:tc>
          <w:tcPr>
            <w:tcW w:w="7223" w:type="dxa"/>
          </w:tcPr>
          <w:p w:rsidR="00DD3B31" w:rsidRPr="00CA192C" w:rsidRDefault="00DD3B31" w:rsidP="0017209B">
            <w:pPr>
              <w:rPr>
                <w:sz w:val="22"/>
                <w:szCs w:val="22"/>
              </w:rPr>
            </w:pPr>
            <w:r w:rsidRPr="00CA192C">
              <w:rPr>
                <w:bCs/>
                <w:sz w:val="22"/>
                <w:szCs w:val="22"/>
              </w:rPr>
              <w:t>Still relevant.</w:t>
            </w:r>
          </w:p>
        </w:tc>
        <w:tc>
          <w:tcPr>
            <w:tcW w:w="1088" w:type="dxa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3739BF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D3B31" w:rsidRPr="005504E8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5504E8">
              <w:rPr>
                <w:rFonts w:hint="eastAsia"/>
                <w:color w:val="000000"/>
                <w:lang w:eastAsia="ja-JP"/>
              </w:rPr>
              <w:t>356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D3B31" w:rsidRPr="00CA192C" w:rsidRDefault="00DD3B31" w:rsidP="0017209B">
            <w:pPr>
              <w:rPr>
                <w:sz w:val="22"/>
                <w:szCs w:val="22"/>
                <w:lang w:val="fr-FR"/>
              </w:rPr>
            </w:pPr>
            <w:r w:rsidRPr="00CA192C">
              <w:rPr>
                <w:sz w:val="22"/>
                <w:szCs w:val="22"/>
                <w:lang w:val="fr-FR"/>
              </w:rPr>
              <w:t>ITU maritime service information registration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D3B31" w:rsidRPr="00CA192C" w:rsidRDefault="00DD3B31" w:rsidP="0017209B">
            <w:pPr>
              <w:pStyle w:val="Tabletext"/>
              <w:rPr>
                <w:bCs/>
                <w:szCs w:val="22"/>
                <w:lang w:eastAsia="ja-JP"/>
              </w:rPr>
            </w:pPr>
            <w:r w:rsidRPr="00CA192C">
              <w:rPr>
                <w:bCs/>
                <w:szCs w:val="22"/>
                <w:lang w:eastAsia="ja-JP"/>
              </w:rPr>
              <w:t>Still relevant.</w:t>
            </w:r>
          </w:p>
          <w:p w:rsidR="00DD3B31" w:rsidRPr="00CA192C" w:rsidRDefault="00DD3B31" w:rsidP="0017209B">
            <w:pPr>
              <w:rPr>
                <w:sz w:val="22"/>
                <w:szCs w:val="22"/>
              </w:rPr>
            </w:pPr>
            <w:r w:rsidRPr="00CA192C">
              <w:rPr>
                <w:bCs/>
                <w:sz w:val="22"/>
                <w:szCs w:val="22"/>
              </w:rPr>
              <w:t>The ITU-R consultation invited in this Resolution is still under way.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  <w:lang w:val="fr-FR" w:eastAsia="ja-JP"/>
              </w:rPr>
            </w:pPr>
            <w:r w:rsidRPr="00CA192C">
              <w:rPr>
                <w:szCs w:val="22"/>
                <w:lang w:val="fr-FR" w:eastAsia="ja-JP"/>
              </w:rPr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Default="00DD3B31" w:rsidP="0017209B">
            <w:pPr>
              <w:pStyle w:val="Tabletext"/>
              <w:jc w:val="center"/>
              <w:rPr>
                <w:lang w:val="fr-FR" w:eastAsia="ja-JP"/>
              </w:rPr>
            </w:pPr>
          </w:p>
        </w:tc>
      </w:tr>
      <w:tr w:rsidR="00DD3B31" w:rsidRPr="003739BF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358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D43CC6" w:rsidRDefault="00DD3B31" w:rsidP="0017209B">
            <w:pPr>
              <w:rPr>
                <w:sz w:val="22"/>
                <w:szCs w:val="22"/>
              </w:rPr>
            </w:pPr>
            <w:r w:rsidRPr="00752BA2">
              <w:rPr>
                <w:sz w:val="22"/>
                <w:szCs w:val="22"/>
                <w:lang w:eastAsia="nl-NL"/>
              </w:rPr>
              <w:t>Consideration of improvement and expansion of on-board communication stations in the maritime mobile service in the UHF bands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rPr>
                <w:sz w:val="22"/>
                <w:szCs w:val="22"/>
              </w:rPr>
            </w:pPr>
            <w:r w:rsidRPr="00752BA2">
              <w:rPr>
                <w:sz w:val="22"/>
                <w:szCs w:val="22"/>
              </w:rPr>
              <w:t>For consideration by WRC-15 (</w:t>
            </w:r>
            <w:r w:rsidRPr="00752BA2">
              <w:rPr>
                <w:b/>
                <w:sz w:val="22"/>
                <w:szCs w:val="22"/>
              </w:rPr>
              <w:t>Agenda item 1.15)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szCs w:val="22"/>
                <w:lang w:val="fr-FR" w:eastAsia="ja-JP"/>
              </w:rPr>
            </w:pPr>
            <w:r w:rsidRPr="00752BA2">
              <w:rPr>
                <w:szCs w:val="22"/>
                <w:lang w:val="fr-FR"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C3181B" w:rsidRDefault="00DD3B31" w:rsidP="0017209B">
            <w:pPr>
              <w:pStyle w:val="Tabletext"/>
              <w:jc w:val="center"/>
              <w:rPr>
                <w:highlight w:val="yellow"/>
                <w:lang w:val="fr-FR" w:eastAsia="ja-JP"/>
              </w:rPr>
            </w:pPr>
          </w:p>
        </w:tc>
      </w:tr>
      <w:tr w:rsidR="00DD3B31" w:rsidRPr="003739BF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359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D3B31" w:rsidRPr="00752BA2" w:rsidRDefault="00DD3B31" w:rsidP="0017209B">
            <w:pPr>
              <w:rPr>
                <w:sz w:val="22"/>
                <w:szCs w:val="22"/>
                <w:lang w:val="en-GB" w:eastAsia="nl-NL"/>
              </w:rPr>
            </w:pPr>
            <w:r w:rsidRPr="00752BA2">
              <w:rPr>
                <w:sz w:val="22"/>
                <w:szCs w:val="22"/>
              </w:rPr>
              <w:t xml:space="preserve">Consideration of regulatory provisions for modernization of </w:t>
            </w:r>
            <w:r>
              <w:rPr>
                <w:rFonts w:eastAsia="Times New Roman" w:hint="eastAsia"/>
                <w:sz w:val="22"/>
                <w:szCs w:val="22"/>
                <w:lang w:eastAsia="ja-JP"/>
              </w:rPr>
              <w:t>GMDSS</w:t>
            </w:r>
            <w:r w:rsidRPr="00752BA2">
              <w:rPr>
                <w:sz w:val="22"/>
                <w:szCs w:val="22"/>
              </w:rPr>
              <w:t xml:space="preserve"> and studies related to e-navigation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:rsidR="00DD3B31" w:rsidRPr="00217848" w:rsidRDefault="00DD3B31" w:rsidP="0017209B">
            <w:pPr>
              <w:rPr>
                <w:rFonts w:eastAsia="Times New Roman"/>
                <w:sz w:val="22"/>
                <w:szCs w:val="22"/>
                <w:lang w:eastAsia="ja-JP"/>
              </w:rPr>
            </w:pPr>
            <w:r>
              <w:rPr>
                <w:rFonts w:eastAsia="Times New Roman" w:hint="eastAsia"/>
                <w:lang w:eastAsia="ja-JP"/>
              </w:rPr>
              <w:t>This Resolution is referred to in preliminary agenda item 2.1 for WRC-18 in Resolution 808, and may be considered under WRC-15 Agenda item 10.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D3B31" w:rsidRPr="00752BA2" w:rsidRDefault="00DD3B31" w:rsidP="0017209B">
            <w:pPr>
              <w:pStyle w:val="Tabletext"/>
              <w:jc w:val="center"/>
              <w:rPr>
                <w:szCs w:val="22"/>
                <w:lang w:val="fr-FR" w:eastAsia="ja-JP"/>
              </w:rPr>
            </w:pPr>
            <w:r w:rsidRPr="00752BA2">
              <w:rPr>
                <w:szCs w:val="22"/>
                <w:lang w:val="fr-FR"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Default="00DD3B31" w:rsidP="0017209B">
            <w:pPr>
              <w:pStyle w:val="Tabletext"/>
              <w:jc w:val="center"/>
              <w:rPr>
                <w:lang w:val="fr-FR" w:eastAsia="ja-JP"/>
              </w:rPr>
            </w:pPr>
          </w:p>
        </w:tc>
      </w:tr>
      <w:tr w:rsidR="00DD3B31" w:rsidRPr="003739BF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360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rPr>
                <w:sz w:val="22"/>
                <w:szCs w:val="22"/>
              </w:rPr>
            </w:pPr>
            <w:r w:rsidRPr="00752BA2">
              <w:rPr>
                <w:sz w:val="22"/>
                <w:szCs w:val="22"/>
              </w:rPr>
              <w:t>Consideration of regulatory provisions and spectrum allocations for enhanced Automatic Identification System technology applications and for enhanced maritime radiocommunication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rPr>
                <w:sz w:val="22"/>
                <w:szCs w:val="22"/>
              </w:rPr>
            </w:pPr>
            <w:r w:rsidRPr="00752BA2">
              <w:rPr>
                <w:sz w:val="22"/>
                <w:szCs w:val="22"/>
              </w:rPr>
              <w:t>For consideration by WRC-15 (</w:t>
            </w:r>
            <w:r w:rsidRPr="00752BA2">
              <w:rPr>
                <w:b/>
                <w:sz w:val="22"/>
                <w:szCs w:val="22"/>
              </w:rPr>
              <w:t>Agenda item 1.16)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szCs w:val="22"/>
                <w:lang w:val="fr-FR" w:eastAsia="ja-JP"/>
              </w:rPr>
            </w:pPr>
            <w:r w:rsidRPr="00752BA2">
              <w:rPr>
                <w:szCs w:val="22"/>
                <w:lang w:val="fr-FR"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BFBFBF"/>
          </w:tcPr>
          <w:p w:rsidR="00DD3B31" w:rsidRDefault="00DD3B31" w:rsidP="0017209B">
            <w:pPr>
              <w:pStyle w:val="Tabletext"/>
              <w:jc w:val="center"/>
              <w:rPr>
                <w:lang w:val="fr-FR"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405</w:t>
            </w:r>
          </w:p>
        </w:tc>
        <w:tc>
          <w:tcPr>
            <w:tcW w:w="4395" w:type="dxa"/>
            <w:shd w:val="clear" w:color="auto" w:fill="auto"/>
          </w:tcPr>
          <w:p w:rsidR="00DD3B31" w:rsidRPr="00CA192C" w:rsidRDefault="00DD3B31" w:rsidP="0017209B">
            <w:pPr>
              <w:pStyle w:val="Tabletext"/>
              <w:rPr>
                <w:szCs w:val="22"/>
                <w:lang w:eastAsia="ja-JP"/>
              </w:rPr>
            </w:pPr>
            <w:r w:rsidRPr="00CA192C">
              <w:rPr>
                <w:szCs w:val="22"/>
              </w:rPr>
              <w:t>Frequencies for AM(R)</w:t>
            </w:r>
            <w:r>
              <w:rPr>
                <w:rFonts w:hint="eastAsia"/>
                <w:szCs w:val="22"/>
                <w:lang w:eastAsia="ja-JP"/>
              </w:rPr>
              <w:t>S</w:t>
            </w:r>
          </w:p>
        </w:tc>
        <w:tc>
          <w:tcPr>
            <w:tcW w:w="7223" w:type="dxa"/>
            <w:shd w:val="clear" w:color="auto" w:fill="auto"/>
          </w:tcPr>
          <w:p w:rsidR="00DD3B31" w:rsidRPr="00CA192C" w:rsidRDefault="00DD3B31" w:rsidP="0017209B">
            <w:pPr>
              <w:pStyle w:val="Tabletext"/>
              <w:rPr>
                <w:szCs w:val="22"/>
              </w:rPr>
            </w:pPr>
            <w:r w:rsidRPr="00CA192C">
              <w:rPr>
                <w:bCs/>
                <w:szCs w:val="22"/>
              </w:rPr>
              <w:t xml:space="preserve">Still relevant; </w:t>
            </w:r>
            <w:proofErr w:type="spellStart"/>
            <w:r w:rsidRPr="00CA192C">
              <w:rPr>
                <w:bCs/>
                <w:szCs w:val="22"/>
              </w:rPr>
              <w:t>ongoing</w:t>
            </w:r>
            <w:proofErr w:type="spellEnd"/>
            <w:r w:rsidRPr="00CA192C">
              <w:rPr>
                <w:bCs/>
                <w:szCs w:val="22"/>
              </w:rPr>
              <w:t xml:space="preserve"> activities in ICAO.</w:t>
            </w:r>
          </w:p>
        </w:tc>
        <w:tc>
          <w:tcPr>
            <w:tcW w:w="1088" w:type="dxa"/>
            <w:shd w:val="clear" w:color="auto" w:fill="auto"/>
          </w:tcPr>
          <w:p w:rsidR="00DD3B31" w:rsidRPr="00CA192C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</w:rPr>
              <w:t>NOC</w:t>
            </w:r>
          </w:p>
        </w:tc>
        <w:tc>
          <w:tcPr>
            <w:tcW w:w="1088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lastRenderedPageBreak/>
              <w:t>413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D3B31" w:rsidRPr="002D7341" w:rsidRDefault="00DD3B31" w:rsidP="0017209B">
            <w:pPr>
              <w:pStyle w:val="Tabletext"/>
              <w:rPr>
                <w:szCs w:val="22"/>
                <w:lang w:eastAsia="ja-JP"/>
              </w:rPr>
            </w:pPr>
            <w:r w:rsidRPr="002D7341">
              <w:rPr>
                <w:szCs w:val="22"/>
              </w:rPr>
              <w:t xml:space="preserve">Use of the band 108-117.975 MHz by </w:t>
            </w:r>
            <w:r>
              <w:rPr>
                <w:rFonts w:hint="eastAsia"/>
                <w:szCs w:val="22"/>
                <w:lang w:eastAsia="ja-JP"/>
              </w:rPr>
              <w:t>AM (R)S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:rsidR="00DD3B31" w:rsidRPr="002D7341" w:rsidRDefault="00DD3B31" w:rsidP="0017209B">
            <w:pPr>
              <w:pStyle w:val="Tabletext"/>
              <w:rPr>
                <w:szCs w:val="22"/>
              </w:rPr>
            </w:pPr>
            <w:r w:rsidRPr="002D7341">
              <w:rPr>
                <w:rFonts w:eastAsia="MS Gothic"/>
                <w:bCs/>
                <w:szCs w:val="22"/>
                <w:lang w:eastAsia="ja-JP"/>
              </w:rPr>
              <w:t>While s</w:t>
            </w:r>
            <w:r w:rsidRPr="002D7341">
              <w:rPr>
                <w:bCs/>
                <w:szCs w:val="22"/>
              </w:rPr>
              <w:t xml:space="preserve">tudies on protection of FM broadcasting receivers operating below 108 MHz </w:t>
            </w:r>
            <w:r w:rsidRPr="002D7341">
              <w:rPr>
                <w:bCs/>
                <w:szCs w:val="22"/>
                <w:lang w:eastAsia="ja-JP"/>
              </w:rPr>
              <w:t>have been</w:t>
            </w:r>
            <w:r w:rsidRPr="002D7341">
              <w:rPr>
                <w:bCs/>
                <w:szCs w:val="22"/>
              </w:rPr>
              <w:t xml:space="preserve"> </w:t>
            </w:r>
            <w:proofErr w:type="spellStart"/>
            <w:r w:rsidRPr="002D7341">
              <w:rPr>
                <w:bCs/>
                <w:szCs w:val="22"/>
              </w:rPr>
              <w:t>complete</w:t>
            </w:r>
            <w:r w:rsidRPr="002D7341">
              <w:rPr>
                <w:bCs/>
                <w:szCs w:val="22"/>
                <w:lang w:eastAsia="ja-JP"/>
              </w:rPr>
              <w:t>d</w:t>
            </w:r>
            <w:proofErr w:type="gramStart"/>
            <w:r w:rsidRPr="002D7341">
              <w:rPr>
                <w:bCs/>
                <w:szCs w:val="22"/>
                <w:lang w:eastAsia="ja-JP"/>
              </w:rPr>
              <w:t>,further</w:t>
            </w:r>
            <w:proofErr w:type="spellEnd"/>
            <w:proofErr w:type="gramEnd"/>
            <w:r w:rsidRPr="002D7341">
              <w:rPr>
                <w:bCs/>
                <w:szCs w:val="22"/>
                <w:lang w:eastAsia="ja-JP"/>
              </w:rPr>
              <w:t xml:space="preserve"> </w:t>
            </w:r>
            <w:r w:rsidRPr="002D7341">
              <w:rPr>
                <w:bCs/>
                <w:szCs w:val="22"/>
              </w:rPr>
              <w:t xml:space="preserve">compatibility </w:t>
            </w:r>
            <w:proofErr w:type="spellStart"/>
            <w:r w:rsidRPr="002D7341">
              <w:rPr>
                <w:bCs/>
                <w:szCs w:val="22"/>
              </w:rPr>
              <w:t>studybetween</w:t>
            </w:r>
            <w:proofErr w:type="spellEnd"/>
            <w:r w:rsidRPr="002D7341">
              <w:rPr>
                <w:bCs/>
                <w:szCs w:val="22"/>
              </w:rPr>
              <w:t xml:space="preserve"> digital </w:t>
            </w:r>
            <w:proofErr w:type="spellStart"/>
            <w:r w:rsidRPr="002D7341">
              <w:rPr>
                <w:bCs/>
                <w:szCs w:val="22"/>
              </w:rPr>
              <w:t>soundbroadcasting</w:t>
            </w:r>
            <w:proofErr w:type="spellEnd"/>
            <w:r w:rsidRPr="002D7341">
              <w:rPr>
                <w:bCs/>
                <w:szCs w:val="22"/>
              </w:rPr>
              <w:t xml:space="preserve"> </w:t>
            </w:r>
            <w:r w:rsidRPr="002D7341">
              <w:rPr>
                <w:bCs/>
                <w:szCs w:val="22"/>
                <w:lang w:eastAsia="ja-JP"/>
              </w:rPr>
              <w:t xml:space="preserve">below </w:t>
            </w:r>
            <w:r w:rsidRPr="002D7341">
              <w:rPr>
                <w:bCs/>
                <w:szCs w:val="22"/>
              </w:rPr>
              <w:t>108 MHz and AM(R)S</w:t>
            </w:r>
            <w:r w:rsidRPr="002D7341">
              <w:rPr>
                <w:bCs/>
                <w:szCs w:val="22"/>
                <w:lang w:eastAsia="ja-JP"/>
              </w:rPr>
              <w:t xml:space="preserve"> needs to be continued (see </w:t>
            </w:r>
            <w:r w:rsidRPr="002D7341">
              <w:rPr>
                <w:bCs/>
                <w:szCs w:val="22"/>
              </w:rPr>
              <w:t>ASP/</w:t>
            </w:r>
            <w:r w:rsidRPr="002D7341">
              <w:rPr>
                <w:bCs/>
                <w:szCs w:val="22"/>
                <w:lang w:eastAsia="ja-JP"/>
              </w:rPr>
              <w:t>26A4</w:t>
            </w:r>
            <w:r w:rsidRPr="002D7341">
              <w:rPr>
                <w:bCs/>
                <w:szCs w:val="22"/>
              </w:rPr>
              <w:t>/</w:t>
            </w:r>
            <w:r w:rsidRPr="002D7341">
              <w:rPr>
                <w:bCs/>
                <w:szCs w:val="22"/>
                <w:lang w:eastAsia="ja-JP"/>
              </w:rPr>
              <w:t>1</w:t>
            </w:r>
            <w:r w:rsidRPr="002D7341">
              <w:rPr>
                <w:bCs/>
                <w:szCs w:val="22"/>
              </w:rPr>
              <w:t xml:space="preserve"> under WRC-</w:t>
            </w:r>
            <w:r w:rsidRPr="002D7341">
              <w:rPr>
                <w:bCs/>
                <w:szCs w:val="22"/>
                <w:lang w:eastAsia="ja-JP"/>
              </w:rPr>
              <w:t>12</w:t>
            </w:r>
            <w:r w:rsidRPr="002D7341">
              <w:rPr>
                <w:bCs/>
                <w:szCs w:val="22"/>
              </w:rPr>
              <w:t xml:space="preserve"> Agenda item 1.</w:t>
            </w:r>
            <w:r w:rsidRPr="002D7341">
              <w:rPr>
                <w:bCs/>
                <w:szCs w:val="22"/>
                <w:lang w:eastAsia="ja-JP"/>
              </w:rPr>
              <w:t>4).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D3B31" w:rsidRPr="002D7341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2D7341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5504E8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DD3B31" w:rsidRPr="005504E8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5504E8">
              <w:rPr>
                <w:rFonts w:hint="eastAsia"/>
                <w:color w:val="000000"/>
                <w:lang w:eastAsia="ja-JP"/>
              </w:rPr>
              <w:t>416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D3B31" w:rsidRPr="002D7341" w:rsidRDefault="00DD3B31" w:rsidP="0017209B">
            <w:pPr>
              <w:pStyle w:val="Tabletext"/>
              <w:rPr>
                <w:color w:val="000000"/>
                <w:szCs w:val="22"/>
              </w:rPr>
            </w:pPr>
            <w:r w:rsidRPr="002D7341">
              <w:rPr>
                <w:color w:val="000000"/>
                <w:szCs w:val="22"/>
              </w:rPr>
              <w:t>Use of the bands 4 400-4 940 MHz and 5 925-6 700 MHz by an aeronautical mobile telemetry application in the mobile service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:rsidR="00DD3B31" w:rsidRPr="002D7341" w:rsidRDefault="00DD3B31" w:rsidP="0017209B">
            <w:pPr>
              <w:pStyle w:val="Tabletext"/>
              <w:jc w:val="center"/>
              <w:rPr>
                <w:color w:val="000000"/>
                <w:szCs w:val="22"/>
                <w:lang w:eastAsia="ja-JP"/>
              </w:rPr>
            </w:pPr>
            <w:r w:rsidRPr="002D7341">
              <w:rPr>
                <w:bCs/>
                <w:szCs w:val="22"/>
              </w:rPr>
              <w:t>Still relevant</w:t>
            </w:r>
            <w:r w:rsidRPr="002D7341">
              <w:rPr>
                <w:bCs/>
                <w:szCs w:val="22"/>
                <w:lang w:eastAsia="ja-JP"/>
              </w:rPr>
              <w:t>. This Resolution is referred to in Nos. </w:t>
            </w:r>
            <w:r w:rsidRPr="002D7341">
              <w:rPr>
                <w:b/>
                <w:bCs/>
                <w:szCs w:val="22"/>
                <w:lang w:eastAsia="ja-JP"/>
              </w:rPr>
              <w:t>5.440A</w:t>
            </w:r>
            <w:r w:rsidRPr="002D7341">
              <w:rPr>
                <w:bCs/>
                <w:szCs w:val="22"/>
                <w:lang w:eastAsia="ja-JP"/>
              </w:rPr>
              <w:t xml:space="preserve">, </w:t>
            </w:r>
            <w:r w:rsidRPr="002D7341">
              <w:rPr>
                <w:b/>
                <w:bCs/>
                <w:szCs w:val="22"/>
                <w:lang w:eastAsia="ja-JP"/>
              </w:rPr>
              <w:t xml:space="preserve">5.442 </w:t>
            </w:r>
            <w:r w:rsidRPr="002D7341">
              <w:rPr>
                <w:bCs/>
                <w:szCs w:val="22"/>
                <w:lang w:eastAsia="ja-JP"/>
              </w:rPr>
              <w:t xml:space="preserve">and </w:t>
            </w:r>
            <w:r w:rsidRPr="002D7341">
              <w:rPr>
                <w:b/>
                <w:bCs/>
                <w:szCs w:val="22"/>
                <w:lang w:eastAsia="ja-JP"/>
              </w:rPr>
              <w:t>5.457C</w:t>
            </w:r>
            <w:r w:rsidRPr="002D7341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D3B31" w:rsidRPr="002D7341" w:rsidRDefault="00DD3B31" w:rsidP="0017209B">
            <w:pPr>
              <w:pStyle w:val="Tabletext"/>
              <w:jc w:val="center"/>
              <w:rPr>
                <w:color w:val="000000"/>
                <w:szCs w:val="22"/>
                <w:lang w:eastAsia="ja-JP"/>
              </w:rPr>
            </w:pPr>
            <w:r w:rsidRPr="002D7341">
              <w:rPr>
                <w:color w:val="000000"/>
                <w:szCs w:val="22"/>
                <w:lang w:eastAsia="ja-JP"/>
              </w:rPr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Pr="005504E8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BA6F59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BA6F59">
              <w:rPr>
                <w:rFonts w:hint="eastAsia"/>
                <w:color w:val="000000"/>
                <w:lang w:eastAsia="ja-JP"/>
              </w:rPr>
              <w:t>417</w:t>
            </w:r>
          </w:p>
        </w:tc>
        <w:tc>
          <w:tcPr>
            <w:tcW w:w="4395" w:type="dxa"/>
            <w:shd w:val="clear" w:color="auto" w:fill="auto"/>
          </w:tcPr>
          <w:p w:rsidR="00DD3B31" w:rsidRPr="002D7341" w:rsidRDefault="00DD3B31" w:rsidP="0017209B">
            <w:pPr>
              <w:rPr>
                <w:sz w:val="22"/>
                <w:szCs w:val="22"/>
                <w:lang w:val="en-GB"/>
              </w:rPr>
            </w:pPr>
            <w:r w:rsidRPr="002D7341">
              <w:rPr>
                <w:sz w:val="22"/>
                <w:szCs w:val="22"/>
              </w:rPr>
              <w:t xml:space="preserve">Use of the band 960-1 164 MHz by </w:t>
            </w:r>
            <w:r>
              <w:rPr>
                <w:rFonts w:eastAsia="Times New Roman" w:hint="eastAsia"/>
                <w:sz w:val="22"/>
                <w:szCs w:val="22"/>
                <w:lang w:eastAsia="ja-JP"/>
              </w:rPr>
              <w:t>AM</w:t>
            </w:r>
            <w:r w:rsidRPr="002D7341">
              <w:rPr>
                <w:sz w:val="22"/>
                <w:szCs w:val="22"/>
              </w:rPr>
              <w:t xml:space="preserve"> (R)</w:t>
            </w:r>
            <w:r>
              <w:rPr>
                <w:rFonts w:eastAsia="Times New Roman" w:hint="eastAsia"/>
                <w:sz w:val="22"/>
                <w:szCs w:val="22"/>
                <w:lang w:eastAsia="ja-JP"/>
              </w:rPr>
              <w:t>S</w:t>
            </w:r>
          </w:p>
        </w:tc>
        <w:tc>
          <w:tcPr>
            <w:tcW w:w="7223" w:type="dxa"/>
            <w:shd w:val="clear" w:color="auto" w:fill="auto"/>
          </w:tcPr>
          <w:p w:rsidR="00DD3B31" w:rsidRPr="002D7341" w:rsidRDefault="00DD3B31" w:rsidP="0017209B">
            <w:pPr>
              <w:pStyle w:val="Tabletext"/>
              <w:rPr>
                <w:szCs w:val="22"/>
              </w:rPr>
            </w:pPr>
            <w:r w:rsidRPr="002D7341">
              <w:rPr>
                <w:rFonts w:eastAsia="MS Gothic"/>
                <w:bCs/>
                <w:szCs w:val="22"/>
                <w:lang w:eastAsia="ko-KR"/>
              </w:rPr>
              <w:t>S</w:t>
            </w:r>
            <w:r w:rsidRPr="002D7341">
              <w:rPr>
                <w:bCs/>
                <w:szCs w:val="22"/>
              </w:rPr>
              <w:t xml:space="preserve">tudies on protection of RNSS and non-ICAO ARNS systems </w:t>
            </w:r>
            <w:r w:rsidRPr="002D7341">
              <w:rPr>
                <w:bCs/>
                <w:szCs w:val="22"/>
                <w:lang w:eastAsia="ja-JP"/>
              </w:rPr>
              <w:t>have been</w:t>
            </w:r>
            <w:r w:rsidRPr="002D7341">
              <w:rPr>
                <w:bCs/>
                <w:szCs w:val="22"/>
              </w:rPr>
              <w:t xml:space="preserve"> complete</w:t>
            </w:r>
            <w:r w:rsidRPr="002D7341">
              <w:rPr>
                <w:bCs/>
                <w:szCs w:val="22"/>
                <w:lang w:eastAsia="ja-JP"/>
              </w:rPr>
              <w:t>d</w:t>
            </w:r>
            <w:r w:rsidRPr="002D7341">
              <w:rPr>
                <w:bCs/>
                <w:szCs w:val="22"/>
              </w:rPr>
              <w:t xml:space="preserve">. </w:t>
            </w:r>
            <w:r w:rsidRPr="002D7341">
              <w:rPr>
                <w:bCs/>
                <w:szCs w:val="22"/>
                <w:lang w:eastAsia="ja-JP"/>
              </w:rPr>
              <w:t>I</w:t>
            </w:r>
            <w:r w:rsidRPr="002D7341">
              <w:rPr>
                <w:bCs/>
                <w:szCs w:val="22"/>
              </w:rPr>
              <w:t xml:space="preserve">t is </w:t>
            </w:r>
            <w:r w:rsidRPr="002D7341">
              <w:rPr>
                <w:bCs/>
                <w:szCs w:val="22"/>
                <w:lang w:eastAsia="ja-JP"/>
              </w:rPr>
              <w:t xml:space="preserve">still </w:t>
            </w:r>
            <w:r w:rsidRPr="002D7341">
              <w:rPr>
                <w:bCs/>
                <w:szCs w:val="22"/>
              </w:rPr>
              <w:t>important that practical operational measures be developed to facilitate the coordination between AM(R</w:t>
            </w:r>
            <w:proofErr w:type="gramStart"/>
            <w:r w:rsidRPr="002D7341">
              <w:rPr>
                <w:bCs/>
                <w:szCs w:val="22"/>
              </w:rPr>
              <w:t>)S</w:t>
            </w:r>
            <w:proofErr w:type="gramEnd"/>
            <w:r w:rsidRPr="002D7341">
              <w:rPr>
                <w:bCs/>
                <w:szCs w:val="22"/>
              </w:rPr>
              <w:t xml:space="preserve"> systems and non-ICAO ARNS systems</w:t>
            </w:r>
            <w:r w:rsidRPr="002D7341">
              <w:rPr>
                <w:bCs/>
                <w:szCs w:val="22"/>
                <w:lang w:eastAsia="ja-JP"/>
              </w:rPr>
              <w:t xml:space="preserve"> (see </w:t>
            </w:r>
            <w:r w:rsidRPr="002D7341">
              <w:rPr>
                <w:bCs/>
                <w:szCs w:val="22"/>
              </w:rPr>
              <w:t>ASP/</w:t>
            </w:r>
            <w:r w:rsidRPr="002D7341">
              <w:rPr>
                <w:bCs/>
                <w:szCs w:val="22"/>
                <w:lang w:eastAsia="ja-JP"/>
              </w:rPr>
              <w:t>26A4</w:t>
            </w:r>
            <w:r w:rsidRPr="002D7341">
              <w:rPr>
                <w:bCs/>
                <w:szCs w:val="22"/>
              </w:rPr>
              <w:t>/2 under WRC-</w:t>
            </w:r>
            <w:r w:rsidRPr="002D7341">
              <w:rPr>
                <w:bCs/>
                <w:szCs w:val="22"/>
                <w:lang w:eastAsia="ja-JP"/>
              </w:rPr>
              <w:t>12</w:t>
            </w:r>
            <w:r w:rsidRPr="002D7341">
              <w:rPr>
                <w:bCs/>
                <w:szCs w:val="22"/>
              </w:rPr>
              <w:t xml:space="preserve"> Agenda item 1.</w:t>
            </w:r>
            <w:r w:rsidRPr="002D7341">
              <w:rPr>
                <w:bCs/>
                <w:szCs w:val="22"/>
                <w:lang w:eastAsia="ja-JP"/>
              </w:rPr>
              <w:t>4)</w:t>
            </w:r>
            <w:r w:rsidRPr="002D7341">
              <w:rPr>
                <w:bCs/>
                <w:szCs w:val="22"/>
              </w:rPr>
              <w:t>.</w:t>
            </w:r>
          </w:p>
        </w:tc>
        <w:tc>
          <w:tcPr>
            <w:tcW w:w="1088" w:type="dxa"/>
            <w:shd w:val="clear" w:color="auto" w:fill="auto"/>
          </w:tcPr>
          <w:p w:rsidR="00DD3B31" w:rsidRPr="002D7341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2D7341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shd w:val="clear" w:color="auto" w:fill="auto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5504E8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5504E8">
              <w:rPr>
                <w:rFonts w:hint="eastAsia"/>
                <w:color w:val="000000"/>
                <w:lang w:eastAsia="ja-JP"/>
              </w:rPr>
              <w:t>418</w:t>
            </w:r>
          </w:p>
        </w:tc>
        <w:tc>
          <w:tcPr>
            <w:tcW w:w="4395" w:type="dxa"/>
          </w:tcPr>
          <w:p w:rsidR="00DD3B31" w:rsidRPr="002D7341" w:rsidRDefault="00DD3B31" w:rsidP="0017209B">
            <w:pPr>
              <w:pStyle w:val="Tabletext"/>
              <w:rPr>
                <w:szCs w:val="22"/>
              </w:rPr>
            </w:pPr>
            <w:r w:rsidRPr="002D7341">
              <w:rPr>
                <w:szCs w:val="22"/>
              </w:rPr>
              <w:t>Use of the band 5 </w:t>
            </w:r>
            <w:smartTag w:uri="schemas.1und1.de/SoftPhone" w:element="Rufnummer">
              <w:r w:rsidRPr="002D7341">
                <w:rPr>
                  <w:szCs w:val="22"/>
                </w:rPr>
                <w:t>091</w:t>
              </w:r>
            </w:smartTag>
            <w:r w:rsidRPr="002D7341">
              <w:rPr>
                <w:szCs w:val="22"/>
              </w:rPr>
              <w:t>-5 </w:t>
            </w:r>
            <w:smartTag w:uri="schemas.1und1.de/SoftPhone" w:element="Rufnummer">
              <w:r w:rsidRPr="002D7341">
                <w:rPr>
                  <w:szCs w:val="22"/>
                </w:rPr>
                <w:t>250</w:t>
              </w:r>
            </w:smartTag>
            <w:r w:rsidRPr="002D7341">
              <w:rPr>
                <w:szCs w:val="22"/>
              </w:rPr>
              <w:t xml:space="preserve"> MHz by the aeronautical mobile service for telemetry applications</w:t>
            </w:r>
          </w:p>
        </w:tc>
        <w:tc>
          <w:tcPr>
            <w:tcW w:w="7223" w:type="dxa"/>
          </w:tcPr>
          <w:p w:rsidR="00DD3B31" w:rsidRPr="002D7341" w:rsidRDefault="00DD3B31" w:rsidP="0017209B">
            <w:pPr>
              <w:pStyle w:val="Tabletext"/>
              <w:rPr>
                <w:bCs/>
                <w:szCs w:val="22"/>
                <w:lang w:eastAsia="ja-JP"/>
              </w:rPr>
            </w:pPr>
            <w:r w:rsidRPr="002D7341">
              <w:rPr>
                <w:bCs/>
                <w:szCs w:val="22"/>
              </w:rPr>
              <w:t>Still relevant</w:t>
            </w:r>
            <w:r w:rsidRPr="002D7341">
              <w:rPr>
                <w:bCs/>
                <w:szCs w:val="22"/>
                <w:lang w:eastAsia="ja-JP"/>
              </w:rPr>
              <w:t>. This Resolution is referred to in Nos. </w:t>
            </w:r>
            <w:r w:rsidRPr="002D7341">
              <w:rPr>
                <w:b/>
                <w:bCs/>
                <w:szCs w:val="22"/>
                <w:lang w:eastAsia="ja-JP"/>
              </w:rPr>
              <w:t>5.444B</w:t>
            </w:r>
            <w:r w:rsidRPr="002D7341">
              <w:rPr>
                <w:bCs/>
                <w:szCs w:val="22"/>
                <w:lang w:eastAsia="ja-JP"/>
              </w:rPr>
              <w:t xml:space="preserve"> and </w:t>
            </w:r>
            <w:r w:rsidRPr="002D7341">
              <w:rPr>
                <w:b/>
                <w:bCs/>
                <w:szCs w:val="22"/>
                <w:lang w:eastAsia="ja-JP"/>
              </w:rPr>
              <w:t>5.446C</w:t>
            </w:r>
            <w:r w:rsidRPr="002D7341">
              <w:rPr>
                <w:bCs/>
                <w:szCs w:val="22"/>
                <w:lang w:eastAsia="ja-JP"/>
              </w:rPr>
              <w:t>.</w:t>
            </w:r>
          </w:p>
          <w:p w:rsidR="00DD3B31" w:rsidRPr="002D7341" w:rsidRDefault="00DD3B31" w:rsidP="0017209B">
            <w:pPr>
              <w:rPr>
                <w:sz w:val="22"/>
                <w:szCs w:val="22"/>
              </w:rPr>
            </w:pPr>
            <w:r w:rsidRPr="002D7341">
              <w:rPr>
                <w:bCs/>
                <w:sz w:val="22"/>
                <w:szCs w:val="22"/>
              </w:rPr>
              <w:t>The ITU-R studies invited in this Resolution have made little progress.</w:t>
            </w:r>
          </w:p>
        </w:tc>
        <w:tc>
          <w:tcPr>
            <w:tcW w:w="1088" w:type="dxa"/>
          </w:tcPr>
          <w:p w:rsidR="00DD3B31" w:rsidRPr="002D7341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2D7341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422</w:t>
            </w:r>
          </w:p>
        </w:tc>
        <w:tc>
          <w:tcPr>
            <w:tcW w:w="4395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rPr>
                <w:bCs/>
                <w:szCs w:val="22"/>
                <w:lang w:eastAsia="ja-JP"/>
              </w:rPr>
            </w:pPr>
            <w:r w:rsidRPr="004E5DFF">
              <w:rPr>
                <w:szCs w:val="22"/>
              </w:rPr>
              <w:t>Development of methodology to calculate aeronautical mobile-satellite (R) service spectrum requirements within the frequency bands 1 545-1 555 MHz (space-to-Earth) and 1 646.5-1 656.5 MHz (Earth-to-space)</w:t>
            </w:r>
          </w:p>
        </w:tc>
        <w:tc>
          <w:tcPr>
            <w:tcW w:w="7223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jc w:val="center"/>
              <w:rPr>
                <w:szCs w:val="22"/>
              </w:rPr>
            </w:pPr>
            <w:r w:rsidRPr="004E5DFF">
              <w:t>–</w:t>
            </w:r>
          </w:p>
        </w:tc>
        <w:tc>
          <w:tcPr>
            <w:tcW w:w="1088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4E5DFF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423</w:t>
            </w:r>
          </w:p>
        </w:tc>
        <w:tc>
          <w:tcPr>
            <w:tcW w:w="4395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rPr>
                <w:szCs w:val="22"/>
              </w:rPr>
            </w:pPr>
            <w:r w:rsidRPr="00752BA2">
              <w:rPr>
                <w:szCs w:val="22"/>
              </w:rPr>
              <w:t>Consideration of regulatory actions, including allocations, to support Wireless Avionics Intra-Communications</w:t>
            </w:r>
          </w:p>
        </w:tc>
        <w:tc>
          <w:tcPr>
            <w:tcW w:w="7223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rPr>
                <w:szCs w:val="22"/>
              </w:rPr>
            </w:pPr>
            <w:r w:rsidRPr="00752BA2">
              <w:rPr>
                <w:szCs w:val="22"/>
              </w:rPr>
              <w:t>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1.</w:t>
            </w:r>
            <w:r w:rsidRPr="00752BA2">
              <w:rPr>
                <w:b/>
                <w:szCs w:val="22"/>
                <w:lang w:eastAsia="ja-JP"/>
              </w:rPr>
              <w:t>17)</w:t>
            </w:r>
          </w:p>
        </w:tc>
        <w:tc>
          <w:tcPr>
            <w:tcW w:w="1088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752BA2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BFBFBF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506</w:t>
            </w:r>
          </w:p>
        </w:tc>
        <w:tc>
          <w:tcPr>
            <w:tcW w:w="4395" w:type="dxa"/>
          </w:tcPr>
          <w:p w:rsidR="00DD3B31" w:rsidRPr="002D7341" w:rsidRDefault="00DD3B31" w:rsidP="0017209B">
            <w:pPr>
              <w:pStyle w:val="Tabletext"/>
              <w:rPr>
                <w:szCs w:val="22"/>
              </w:rPr>
            </w:pPr>
            <w:r w:rsidRPr="002D7341">
              <w:rPr>
                <w:bCs/>
                <w:szCs w:val="22"/>
                <w:lang w:eastAsia="ja-JP"/>
              </w:rPr>
              <w:t xml:space="preserve">Use of the 12 GHz bands by </w:t>
            </w:r>
            <w:r w:rsidRPr="002D7341">
              <w:rPr>
                <w:bCs/>
                <w:szCs w:val="22"/>
              </w:rPr>
              <w:t xml:space="preserve">GSO BSS </w:t>
            </w:r>
            <w:r w:rsidRPr="002D7341">
              <w:rPr>
                <w:bCs/>
                <w:szCs w:val="22"/>
                <w:lang w:eastAsia="ja-JP"/>
              </w:rPr>
              <w:t>only</w:t>
            </w:r>
          </w:p>
        </w:tc>
        <w:tc>
          <w:tcPr>
            <w:tcW w:w="7223" w:type="dxa"/>
          </w:tcPr>
          <w:p w:rsidR="00DD3B31" w:rsidRPr="002D7341" w:rsidRDefault="00DD3B31" w:rsidP="0017209B">
            <w:pPr>
              <w:pStyle w:val="Tabletext"/>
              <w:rPr>
                <w:szCs w:val="22"/>
              </w:rPr>
            </w:pPr>
            <w:r w:rsidRPr="002D7341">
              <w:rPr>
                <w:bCs/>
                <w:szCs w:val="22"/>
              </w:rPr>
              <w:t>Still relevant</w:t>
            </w:r>
            <w:r w:rsidRPr="002D7341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088" w:type="dxa"/>
          </w:tcPr>
          <w:p w:rsidR="00DD3B31" w:rsidRPr="002D7341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2D7341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trHeight w:val="443"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507</w:t>
            </w:r>
          </w:p>
        </w:tc>
        <w:tc>
          <w:tcPr>
            <w:tcW w:w="4395" w:type="dxa"/>
          </w:tcPr>
          <w:p w:rsidR="00DD3B31" w:rsidRPr="002D7341" w:rsidRDefault="00DD3B31" w:rsidP="0017209B">
            <w:pPr>
              <w:pStyle w:val="Tabletext"/>
              <w:rPr>
                <w:szCs w:val="22"/>
              </w:rPr>
            </w:pPr>
            <w:r w:rsidRPr="002D7341">
              <w:rPr>
                <w:szCs w:val="22"/>
              </w:rPr>
              <w:t>Agreements/Plans for BSS</w:t>
            </w:r>
          </w:p>
        </w:tc>
        <w:tc>
          <w:tcPr>
            <w:tcW w:w="7223" w:type="dxa"/>
            <w:shd w:val="clear" w:color="auto" w:fill="auto"/>
          </w:tcPr>
          <w:p w:rsidR="00DD3B31" w:rsidRPr="002D7341" w:rsidRDefault="00DD3B31" w:rsidP="0017209B">
            <w:pPr>
              <w:pStyle w:val="Tabletext"/>
              <w:rPr>
                <w:szCs w:val="22"/>
              </w:rPr>
            </w:pPr>
            <w:r w:rsidRPr="002D7341">
              <w:rPr>
                <w:bCs/>
                <w:szCs w:val="22"/>
              </w:rPr>
              <w:t>Still relevant</w:t>
            </w:r>
            <w:r w:rsidRPr="002D7341">
              <w:rPr>
                <w:bCs/>
                <w:szCs w:val="22"/>
                <w:lang w:eastAsia="ja-JP"/>
              </w:rPr>
              <w:t>.</w:t>
            </w:r>
            <w:r w:rsidRPr="002D7341">
              <w:rPr>
                <w:bCs/>
                <w:szCs w:val="22"/>
              </w:rPr>
              <w:t xml:space="preserve"> This Resolution is referred to in</w:t>
            </w:r>
            <w:r w:rsidRPr="002D7341">
              <w:rPr>
                <w:bCs/>
                <w:szCs w:val="22"/>
                <w:lang w:eastAsia="ja-JP"/>
              </w:rPr>
              <w:t xml:space="preserve"> Resolution </w:t>
            </w:r>
            <w:r w:rsidRPr="001B7593">
              <w:rPr>
                <w:bCs/>
                <w:szCs w:val="22"/>
                <w:lang w:eastAsia="ja-JP"/>
              </w:rPr>
              <w:t>525</w:t>
            </w:r>
            <w:r w:rsidRPr="002207DE">
              <w:rPr>
                <w:bCs/>
                <w:lang w:eastAsia="ja-JP"/>
              </w:rPr>
              <w:t>(Rev.WRC-07)</w:t>
            </w:r>
            <w:r w:rsidRPr="002D7341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088" w:type="dxa"/>
          </w:tcPr>
          <w:p w:rsidR="00DD3B31" w:rsidRPr="002D7341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2D7341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517</w:t>
            </w:r>
          </w:p>
        </w:tc>
        <w:tc>
          <w:tcPr>
            <w:tcW w:w="4395" w:type="dxa"/>
          </w:tcPr>
          <w:p w:rsidR="00DD3B31" w:rsidRPr="002D7341" w:rsidRDefault="00DD3B31" w:rsidP="0017209B">
            <w:pPr>
              <w:pStyle w:val="Tabletext"/>
              <w:rPr>
                <w:szCs w:val="22"/>
              </w:rPr>
            </w:pPr>
            <w:r w:rsidRPr="002D7341">
              <w:rPr>
                <w:szCs w:val="22"/>
              </w:rPr>
              <w:t>Introduction of digital and SSB modulations in the HFBC</w:t>
            </w:r>
          </w:p>
        </w:tc>
        <w:tc>
          <w:tcPr>
            <w:tcW w:w="7223" w:type="dxa"/>
          </w:tcPr>
          <w:p w:rsidR="00DD3B31" w:rsidRPr="002D7341" w:rsidRDefault="00DD3B31" w:rsidP="0017209B">
            <w:pPr>
              <w:pStyle w:val="Tabletext"/>
              <w:rPr>
                <w:szCs w:val="22"/>
              </w:rPr>
            </w:pPr>
            <w:r w:rsidRPr="002D7341">
              <w:rPr>
                <w:bCs/>
                <w:szCs w:val="22"/>
              </w:rPr>
              <w:t>Still relevant</w:t>
            </w:r>
            <w:r w:rsidRPr="002D7341">
              <w:rPr>
                <w:bCs/>
                <w:szCs w:val="22"/>
                <w:lang w:eastAsia="ja-JP"/>
              </w:rPr>
              <w:t xml:space="preserve">. </w:t>
            </w:r>
            <w:r w:rsidRPr="002D7341">
              <w:rPr>
                <w:bCs/>
                <w:szCs w:val="22"/>
              </w:rPr>
              <w:t>This Resolution is referred to in No.</w:t>
            </w:r>
            <w:r w:rsidRPr="002D7341">
              <w:rPr>
                <w:b/>
                <w:bCs/>
                <w:szCs w:val="22"/>
              </w:rPr>
              <w:t> 5.134</w:t>
            </w:r>
            <w:r w:rsidRPr="002D7341">
              <w:rPr>
                <w:bCs/>
                <w:szCs w:val="22"/>
              </w:rPr>
              <w:t>.</w:t>
            </w:r>
          </w:p>
        </w:tc>
        <w:tc>
          <w:tcPr>
            <w:tcW w:w="1088" w:type="dxa"/>
          </w:tcPr>
          <w:p w:rsidR="00DD3B31" w:rsidRPr="002D7341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2D7341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lastRenderedPageBreak/>
              <w:t>526</w:t>
            </w:r>
          </w:p>
        </w:tc>
        <w:tc>
          <w:tcPr>
            <w:tcW w:w="4395" w:type="dxa"/>
          </w:tcPr>
          <w:p w:rsidR="00DD3B31" w:rsidRPr="002D7341" w:rsidRDefault="00DD3B31" w:rsidP="0017209B">
            <w:pPr>
              <w:pStyle w:val="Tabletext"/>
              <w:rPr>
                <w:szCs w:val="22"/>
              </w:rPr>
            </w:pPr>
            <w:r w:rsidRPr="002D7341">
              <w:rPr>
                <w:bCs/>
                <w:szCs w:val="22"/>
              </w:rPr>
              <w:t xml:space="preserve">Additional provisions for </w:t>
            </w:r>
            <w:r w:rsidRPr="002D7341">
              <w:rPr>
                <w:bCs/>
                <w:szCs w:val="22"/>
                <w:lang w:eastAsia="ja-JP"/>
              </w:rPr>
              <w:t xml:space="preserve">use for the BSS bands for </w:t>
            </w:r>
            <w:r w:rsidRPr="002D7341">
              <w:rPr>
                <w:bCs/>
                <w:szCs w:val="22"/>
              </w:rPr>
              <w:t>HDTV</w:t>
            </w:r>
          </w:p>
        </w:tc>
        <w:tc>
          <w:tcPr>
            <w:tcW w:w="7223" w:type="dxa"/>
          </w:tcPr>
          <w:p w:rsidR="00DD3B31" w:rsidRPr="002D7341" w:rsidRDefault="00DD3B31" w:rsidP="0017209B">
            <w:pPr>
              <w:pStyle w:val="Tabletext"/>
              <w:rPr>
                <w:bCs/>
                <w:i/>
                <w:szCs w:val="22"/>
                <w:lang w:eastAsia="ja-JP"/>
              </w:rPr>
            </w:pPr>
            <w:r w:rsidRPr="002D7341">
              <w:rPr>
                <w:bCs/>
                <w:szCs w:val="22"/>
                <w:lang w:eastAsia="ja-JP"/>
              </w:rPr>
              <w:t xml:space="preserve">The substance is obsolete. It may be suppressed. </w:t>
            </w:r>
          </w:p>
        </w:tc>
        <w:tc>
          <w:tcPr>
            <w:tcW w:w="1088" w:type="dxa"/>
          </w:tcPr>
          <w:p w:rsidR="00DD3B31" w:rsidRPr="002D7341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2D7341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528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"/>
              <w:rPr>
                <w:szCs w:val="22"/>
                <w:lang w:eastAsia="ja-JP"/>
              </w:rPr>
            </w:pPr>
            <w:r w:rsidRPr="0097541B">
              <w:rPr>
                <w:bCs/>
                <w:szCs w:val="22"/>
                <w:lang w:eastAsia="ja-JP"/>
              </w:rPr>
              <w:t xml:space="preserve">Introduction of </w:t>
            </w:r>
            <w:r w:rsidRPr="0097541B">
              <w:rPr>
                <w:bCs/>
                <w:szCs w:val="22"/>
              </w:rPr>
              <w:t>BSS (sound) in 1</w:t>
            </w:r>
            <w:r w:rsidRPr="0097541B">
              <w:rPr>
                <w:bCs/>
                <w:szCs w:val="22"/>
                <w:lang w:eastAsia="ja-JP"/>
              </w:rPr>
              <w:t>-3</w:t>
            </w:r>
            <w:r w:rsidRPr="0097541B">
              <w:rPr>
                <w:bCs/>
                <w:szCs w:val="22"/>
              </w:rPr>
              <w:t xml:space="preserve"> GHz</w:t>
            </w:r>
          </w:p>
        </w:tc>
        <w:tc>
          <w:tcPr>
            <w:tcW w:w="7223" w:type="dxa"/>
          </w:tcPr>
          <w:p w:rsidR="00DD3B31" w:rsidRPr="0097541B" w:rsidRDefault="00DD3B31" w:rsidP="0017209B">
            <w:pPr>
              <w:pStyle w:val="Tabletext"/>
              <w:rPr>
                <w:bCs/>
                <w:szCs w:val="22"/>
                <w:lang w:eastAsia="ja-JP"/>
              </w:rPr>
            </w:pPr>
            <w:r w:rsidRPr="0097541B">
              <w:rPr>
                <w:bCs/>
                <w:szCs w:val="22"/>
              </w:rPr>
              <w:t>Still relevant</w:t>
            </w:r>
            <w:r w:rsidRPr="0097541B">
              <w:rPr>
                <w:bCs/>
                <w:szCs w:val="22"/>
                <w:lang w:eastAsia="ja-JP"/>
              </w:rPr>
              <w:t>. This Resolution is referred to in Nos. </w:t>
            </w:r>
            <w:r w:rsidRPr="00A54F84">
              <w:rPr>
                <w:b/>
                <w:bCs/>
                <w:szCs w:val="22"/>
                <w:lang w:eastAsia="ja-JP"/>
              </w:rPr>
              <w:t>5.417A</w:t>
            </w:r>
            <w:r w:rsidRPr="0097541B">
              <w:rPr>
                <w:bCs/>
                <w:szCs w:val="22"/>
                <w:lang w:eastAsia="ja-JP"/>
              </w:rPr>
              <w:t xml:space="preserve">, </w:t>
            </w:r>
            <w:r w:rsidRPr="00A54F84">
              <w:rPr>
                <w:b/>
                <w:bCs/>
                <w:szCs w:val="22"/>
                <w:lang w:eastAsia="ja-JP"/>
              </w:rPr>
              <w:t>5.418</w:t>
            </w:r>
            <w:r w:rsidRPr="0097541B">
              <w:rPr>
                <w:bCs/>
                <w:szCs w:val="22"/>
                <w:lang w:eastAsia="ja-JP"/>
              </w:rPr>
              <w:t xml:space="preserve"> and </w:t>
            </w:r>
            <w:r w:rsidRPr="00A54F84">
              <w:rPr>
                <w:b/>
                <w:bCs/>
                <w:szCs w:val="22"/>
                <w:lang w:eastAsia="ja-JP"/>
              </w:rPr>
              <w:t>5.393</w:t>
            </w:r>
            <w:r w:rsidRPr="0097541B">
              <w:rPr>
                <w:bCs/>
                <w:szCs w:val="22"/>
                <w:lang w:eastAsia="ja-JP"/>
              </w:rPr>
              <w:t>.</w:t>
            </w:r>
          </w:p>
          <w:p w:rsidR="00DD3B31" w:rsidRPr="0097541B" w:rsidRDefault="00DD3B31" w:rsidP="0017209B">
            <w:pPr>
              <w:pStyle w:val="Tabletext"/>
              <w:rPr>
                <w:bCs/>
                <w:szCs w:val="22"/>
                <w:lang w:eastAsia="ja-JP"/>
              </w:rPr>
            </w:pPr>
            <w:r w:rsidRPr="0097541B">
              <w:rPr>
                <w:bCs/>
                <w:szCs w:val="22"/>
                <w:lang w:eastAsia="ja-JP"/>
              </w:rPr>
              <w:t>The text under “</w:t>
            </w:r>
            <w:r w:rsidRPr="0097541B">
              <w:rPr>
                <w:bCs/>
                <w:i/>
                <w:szCs w:val="22"/>
                <w:lang w:eastAsia="ja-JP"/>
              </w:rPr>
              <w:t>resolves</w:t>
            </w:r>
            <w:r w:rsidRPr="0097541B">
              <w:rPr>
                <w:bCs/>
                <w:szCs w:val="22"/>
                <w:lang w:eastAsia="ja-JP"/>
              </w:rPr>
              <w:t xml:space="preserve"> 1” is outdated and may be reviewed.</w:t>
            </w:r>
          </w:p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  <w:lang w:eastAsia="ja-JP"/>
              </w:rPr>
              <w:t xml:space="preserve">References to Resolution </w:t>
            </w:r>
            <w:r w:rsidRPr="0097541B">
              <w:rPr>
                <w:b/>
                <w:bCs/>
                <w:szCs w:val="22"/>
                <w:lang w:eastAsia="ja-JP"/>
              </w:rPr>
              <w:t>33</w:t>
            </w:r>
            <w:r w:rsidRPr="0097541B">
              <w:rPr>
                <w:bCs/>
                <w:szCs w:val="22"/>
                <w:lang w:eastAsia="ja-JP"/>
              </w:rPr>
              <w:t xml:space="preserve"> (</w:t>
            </w:r>
            <w:r w:rsidRPr="0097541B">
              <w:rPr>
                <w:b/>
                <w:bCs/>
                <w:szCs w:val="22"/>
                <w:lang w:eastAsia="ja-JP"/>
              </w:rPr>
              <w:t>Rev.WRC-03</w:t>
            </w:r>
            <w:r w:rsidRPr="0097541B">
              <w:rPr>
                <w:bCs/>
                <w:szCs w:val="22"/>
                <w:lang w:eastAsia="ja-JP"/>
              </w:rPr>
              <w:t xml:space="preserve">), in </w:t>
            </w:r>
            <w:r w:rsidRPr="0097541B">
              <w:rPr>
                <w:bCs/>
                <w:i/>
                <w:szCs w:val="22"/>
                <w:lang w:eastAsia="ja-JP"/>
              </w:rPr>
              <w:t>resolves</w:t>
            </w:r>
            <w:r w:rsidRPr="0097541B">
              <w:rPr>
                <w:bCs/>
                <w:szCs w:val="22"/>
                <w:lang w:eastAsia="ja-JP"/>
              </w:rPr>
              <w:t xml:space="preserve"> 3, may need to be changed to refer to Article 11, since all the concerned networks have been already in operation.</w:t>
            </w:r>
          </w:p>
        </w:tc>
        <w:tc>
          <w:tcPr>
            <w:tcW w:w="1088" w:type="dxa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</w:rPr>
            </w:pPr>
            <w:r w:rsidRPr="0097541B">
              <w:rPr>
                <w:szCs w:val="22"/>
              </w:rPr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535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  <w:lang w:eastAsia="ja-JP"/>
              </w:rPr>
              <w:t>Information for a</w:t>
            </w:r>
            <w:r w:rsidRPr="0097541B">
              <w:rPr>
                <w:bCs/>
                <w:szCs w:val="22"/>
              </w:rPr>
              <w:t>pplication of Article 12</w:t>
            </w:r>
          </w:p>
        </w:tc>
        <w:tc>
          <w:tcPr>
            <w:tcW w:w="7223" w:type="dxa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088" w:type="dxa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</w:rPr>
            </w:pPr>
            <w:r w:rsidRPr="0097541B">
              <w:rPr>
                <w:szCs w:val="22"/>
              </w:rPr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536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BSS satellites serving other countries</w:t>
            </w:r>
          </w:p>
        </w:tc>
        <w:tc>
          <w:tcPr>
            <w:tcW w:w="7223" w:type="dxa"/>
          </w:tcPr>
          <w:p w:rsidR="00DD3B31" w:rsidRPr="0097541B" w:rsidRDefault="00DD3B31" w:rsidP="0017209B">
            <w:pPr>
              <w:pStyle w:val="Tabletext"/>
              <w:rPr>
                <w:szCs w:val="22"/>
                <w:lang w:eastAsia="ja-JP"/>
              </w:rPr>
            </w:pPr>
            <w:r w:rsidRPr="0097541B">
              <w:rPr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088" w:type="dxa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539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Use of the band 2 630-2 655 MHz for non-GSO BSS</w:t>
            </w:r>
            <w:r w:rsidRPr="0097541B">
              <w:rPr>
                <w:bCs/>
                <w:szCs w:val="22"/>
                <w:lang w:eastAsia="ja-JP"/>
              </w:rPr>
              <w:t xml:space="preserve"> in certain Region 3 countries</w:t>
            </w:r>
          </w:p>
        </w:tc>
        <w:tc>
          <w:tcPr>
            <w:tcW w:w="7223" w:type="dxa"/>
          </w:tcPr>
          <w:p w:rsidR="00DD3B31" w:rsidRPr="0097541B" w:rsidRDefault="00DD3B31" w:rsidP="0017209B">
            <w:pPr>
              <w:pStyle w:val="Tabletext"/>
              <w:rPr>
                <w:bCs/>
                <w:szCs w:val="22"/>
                <w:lang w:eastAsia="ja-JP"/>
              </w:rPr>
            </w:pPr>
            <w:r w:rsidRPr="0097541B">
              <w:rPr>
                <w:bCs/>
                <w:szCs w:val="22"/>
                <w:lang w:eastAsia="ja-JP"/>
              </w:rPr>
              <w:t xml:space="preserve">Still relevant. </w:t>
            </w:r>
            <w:r w:rsidRPr="0097541B">
              <w:rPr>
                <w:bCs/>
                <w:szCs w:val="22"/>
              </w:rPr>
              <w:t>This Resolution is referred to in Nos. </w:t>
            </w:r>
            <w:r w:rsidRPr="002D7341">
              <w:rPr>
                <w:b/>
                <w:bCs/>
                <w:szCs w:val="22"/>
              </w:rPr>
              <w:t>5.417A</w:t>
            </w:r>
            <w:r w:rsidRPr="0097541B">
              <w:rPr>
                <w:bCs/>
                <w:szCs w:val="22"/>
              </w:rPr>
              <w:t xml:space="preserve"> and </w:t>
            </w:r>
            <w:r w:rsidRPr="002D7341">
              <w:rPr>
                <w:b/>
                <w:bCs/>
                <w:szCs w:val="22"/>
              </w:rPr>
              <w:t>5.418</w:t>
            </w:r>
            <w:r w:rsidRPr="0097541B">
              <w:rPr>
                <w:bCs/>
                <w:szCs w:val="22"/>
              </w:rPr>
              <w:t>.</w:t>
            </w:r>
          </w:p>
        </w:tc>
        <w:tc>
          <w:tcPr>
            <w:tcW w:w="1088" w:type="dxa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</w:rPr>
            </w:pPr>
            <w:r w:rsidRPr="0097541B">
              <w:rPr>
                <w:szCs w:val="22"/>
              </w:rPr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543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Provisional RF protection ratios for analogue and digital emissions in HFBC</w:t>
            </w:r>
          </w:p>
        </w:tc>
        <w:tc>
          <w:tcPr>
            <w:tcW w:w="7223" w:type="dxa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</w:rPr>
              <w:t>Still relevant</w:t>
            </w:r>
            <w:r w:rsidRPr="0097541B">
              <w:rPr>
                <w:bCs/>
                <w:szCs w:val="22"/>
                <w:lang w:eastAsia="ja-JP"/>
              </w:rPr>
              <w:t xml:space="preserve">. </w:t>
            </w:r>
            <w:r w:rsidRPr="0097541B">
              <w:rPr>
                <w:bCs/>
                <w:szCs w:val="22"/>
              </w:rPr>
              <w:t xml:space="preserve">This Resolution is referred to in </w:t>
            </w:r>
            <w:r w:rsidRPr="0097541B">
              <w:rPr>
                <w:bCs/>
                <w:szCs w:val="22"/>
                <w:lang w:eastAsia="ja-JP"/>
              </w:rPr>
              <w:t xml:space="preserve">1.1 and 2.5 of Part C of Appendix </w:t>
            </w:r>
            <w:r w:rsidRPr="003353EC">
              <w:rPr>
                <w:b/>
                <w:bCs/>
                <w:szCs w:val="22"/>
                <w:lang w:eastAsia="ja-JP"/>
              </w:rPr>
              <w:t>11</w:t>
            </w:r>
            <w:r w:rsidRPr="0097541B">
              <w:rPr>
                <w:bCs/>
                <w:szCs w:val="22"/>
              </w:rPr>
              <w:t xml:space="preserve">. </w:t>
            </w:r>
            <w:r w:rsidRPr="0097541B">
              <w:rPr>
                <w:bCs/>
                <w:szCs w:val="22"/>
                <w:lang w:eastAsia="ja-JP"/>
              </w:rPr>
              <w:t>The ITU-R studies invited in this Resolution have made little progress.</w:t>
            </w:r>
          </w:p>
        </w:tc>
        <w:tc>
          <w:tcPr>
            <w:tcW w:w="1088" w:type="dxa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</w:rPr>
            </w:pPr>
            <w:r w:rsidRPr="0097541B">
              <w:rPr>
                <w:szCs w:val="22"/>
              </w:rPr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C257B1" w:rsidRDefault="00DD3B31" w:rsidP="0017209B">
            <w:pPr>
              <w:pStyle w:val="Tabletext"/>
              <w:jc w:val="center"/>
            </w:pPr>
            <w:r w:rsidRPr="00C257B1">
              <w:t>547</w:t>
            </w:r>
          </w:p>
        </w:tc>
        <w:tc>
          <w:tcPr>
            <w:tcW w:w="4395" w:type="dxa"/>
            <w:shd w:val="clear" w:color="auto" w:fill="auto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Updating of the “Remarks” columns in AP30/30A</w:t>
            </w:r>
          </w:p>
        </w:tc>
        <w:tc>
          <w:tcPr>
            <w:tcW w:w="7223" w:type="dxa"/>
            <w:shd w:val="clear" w:color="auto" w:fill="auto"/>
          </w:tcPr>
          <w:p w:rsidR="00DD3B31" w:rsidRPr="0097541B" w:rsidRDefault="00DD3B31" w:rsidP="0017209B">
            <w:pPr>
              <w:pStyle w:val="Tabletext"/>
              <w:rPr>
                <w:rStyle w:val="FootnoteReference"/>
                <w:color w:val="000000"/>
                <w:szCs w:val="22"/>
              </w:rPr>
            </w:pPr>
            <w:r w:rsidRPr="0097541B">
              <w:rPr>
                <w:bCs/>
                <w:szCs w:val="22"/>
              </w:rPr>
              <w:t>Still relevant</w:t>
            </w:r>
            <w:r w:rsidRPr="0097541B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088" w:type="dxa"/>
            <w:shd w:val="clear" w:color="auto" w:fill="auto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  <w:shd w:val="clear" w:color="auto" w:fill="auto"/>
          </w:tcPr>
          <w:p w:rsidR="00DD3B31" w:rsidRPr="00C257B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548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Application of the grouping concept in AP30/30A in Regions 1 and 3</w:t>
            </w:r>
          </w:p>
        </w:tc>
        <w:tc>
          <w:tcPr>
            <w:tcW w:w="7223" w:type="dxa"/>
          </w:tcPr>
          <w:p w:rsidR="00DD3B31" w:rsidRPr="0097541B" w:rsidRDefault="00DD3B31" w:rsidP="0017209B">
            <w:pPr>
              <w:pStyle w:val="Tabletext"/>
              <w:rPr>
                <w:rStyle w:val="FootnoteReference"/>
                <w:color w:val="000000"/>
                <w:szCs w:val="22"/>
              </w:rPr>
            </w:pPr>
            <w:r w:rsidRPr="0097541B">
              <w:rPr>
                <w:bCs/>
                <w:szCs w:val="22"/>
                <w:lang w:eastAsia="ja-JP"/>
              </w:rPr>
              <w:t>Still relevant. As suggested in the CPM Report</w:t>
            </w:r>
            <w:r>
              <w:rPr>
                <w:rFonts w:hint="eastAsia"/>
                <w:bCs/>
                <w:szCs w:val="22"/>
                <w:lang w:eastAsia="ja-JP"/>
              </w:rPr>
              <w:t xml:space="preserve"> to WRC-12</w:t>
            </w:r>
            <w:r w:rsidRPr="0097541B">
              <w:rPr>
                <w:bCs/>
                <w:szCs w:val="22"/>
                <w:lang w:eastAsia="ja-JP"/>
              </w:rPr>
              <w:t>, it m</w:t>
            </w:r>
            <w:r w:rsidRPr="0097541B">
              <w:rPr>
                <w:bCs/>
                <w:szCs w:val="22"/>
              </w:rPr>
              <w:t>ay need some updates in view of completion of some actions</w:t>
            </w:r>
            <w:r w:rsidRPr="0097541B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088" w:type="dxa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3B5EDC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549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rPr>
                <w:sz w:val="22"/>
                <w:szCs w:val="22"/>
              </w:rPr>
            </w:pPr>
            <w:r w:rsidRPr="0097541B">
              <w:rPr>
                <w:bCs/>
                <w:sz w:val="22"/>
                <w:szCs w:val="22"/>
              </w:rPr>
              <w:t>Use of the frequency band 620-790 MHz for existing assignments to stations of BSS</w:t>
            </w:r>
          </w:p>
        </w:tc>
        <w:tc>
          <w:tcPr>
            <w:tcW w:w="7223" w:type="dxa"/>
          </w:tcPr>
          <w:p w:rsidR="00DD3B31" w:rsidRPr="0097541B" w:rsidRDefault="00DD3B31" w:rsidP="0017209B">
            <w:pPr>
              <w:rPr>
                <w:sz w:val="22"/>
                <w:szCs w:val="22"/>
              </w:rPr>
            </w:pPr>
            <w:r w:rsidRPr="0097541B">
              <w:rPr>
                <w:bCs/>
                <w:sz w:val="22"/>
                <w:szCs w:val="22"/>
              </w:rPr>
              <w:t>Still relevant.</w:t>
            </w:r>
          </w:p>
        </w:tc>
        <w:tc>
          <w:tcPr>
            <w:tcW w:w="1088" w:type="dxa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D3B31" w:rsidRPr="003B5EDC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550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D3B31" w:rsidRPr="0097541B" w:rsidRDefault="00DD3B31" w:rsidP="0017209B">
            <w:pPr>
              <w:rPr>
                <w:sz w:val="22"/>
                <w:szCs w:val="22"/>
              </w:rPr>
            </w:pPr>
            <w:r w:rsidRPr="0097541B">
              <w:rPr>
                <w:sz w:val="22"/>
                <w:szCs w:val="22"/>
              </w:rPr>
              <w:t>Information relating to the high-frequency broadcasting service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D3B31" w:rsidRPr="0097541B" w:rsidRDefault="00DD3B31" w:rsidP="0017209B">
            <w:pPr>
              <w:rPr>
                <w:sz w:val="22"/>
                <w:szCs w:val="22"/>
              </w:rPr>
            </w:pPr>
            <w:r w:rsidRPr="0097541B">
              <w:rPr>
                <w:bCs/>
                <w:sz w:val="22"/>
                <w:szCs w:val="22"/>
              </w:rPr>
              <w:t>Still relevant. The ITU-R studies invited in this Resolution have made little progress.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552</w:t>
            </w:r>
          </w:p>
        </w:tc>
        <w:tc>
          <w:tcPr>
            <w:tcW w:w="4395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rPr>
                <w:szCs w:val="22"/>
              </w:rPr>
            </w:pPr>
            <w:r w:rsidRPr="004E5DFF">
              <w:rPr>
                <w:szCs w:val="22"/>
                <w:lang w:eastAsia="ja-JP"/>
              </w:rPr>
              <w:t>Long-term access to and development in the band 21.4-22 GHz in Regions 1 and 3</w:t>
            </w:r>
          </w:p>
        </w:tc>
        <w:tc>
          <w:tcPr>
            <w:tcW w:w="7223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jc w:val="center"/>
              <w:rPr>
                <w:szCs w:val="22"/>
              </w:rPr>
            </w:pPr>
            <w:r w:rsidRPr="004E5DFF">
              <w:t>–</w:t>
            </w:r>
          </w:p>
        </w:tc>
        <w:tc>
          <w:tcPr>
            <w:tcW w:w="1088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4E5DFF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lastRenderedPageBreak/>
              <w:t>553</w:t>
            </w:r>
          </w:p>
        </w:tc>
        <w:tc>
          <w:tcPr>
            <w:tcW w:w="4395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rPr>
                <w:szCs w:val="22"/>
                <w:lang w:eastAsia="ja-JP"/>
              </w:rPr>
            </w:pPr>
            <w:r w:rsidRPr="004E5DFF">
              <w:rPr>
                <w:szCs w:val="22"/>
              </w:rPr>
              <w:t>Additional regulatory measures for broadcasting-satellite networks in the band 21.4-22 GHz in Regions 1 and 3 for the enhancement of equitable access to this band</w:t>
            </w:r>
          </w:p>
        </w:tc>
        <w:tc>
          <w:tcPr>
            <w:tcW w:w="7223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jc w:val="center"/>
              <w:rPr>
                <w:szCs w:val="22"/>
              </w:rPr>
            </w:pPr>
            <w:r w:rsidRPr="004E5DFF">
              <w:t>–</w:t>
            </w:r>
          </w:p>
        </w:tc>
        <w:tc>
          <w:tcPr>
            <w:tcW w:w="1088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4E5DFF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554</w:t>
            </w:r>
          </w:p>
        </w:tc>
        <w:tc>
          <w:tcPr>
            <w:tcW w:w="4395" w:type="dxa"/>
            <w:shd w:val="clear" w:color="auto" w:fill="auto"/>
          </w:tcPr>
          <w:p w:rsidR="00DD3B31" w:rsidRPr="004E5DFF" w:rsidRDefault="00DD3B31" w:rsidP="0017209B">
            <w:pPr>
              <w:pStyle w:val="Tabletext"/>
            </w:pPr>
            <w:r w:rsidRPr="004E5DFF">
              <w:t xml:space="preserve">Application of </w:t>
            </w:r>
            <w:proofErr w:type="spellStart"/>
            <w:r w:rsidRPr="004E5DFF">
              <w:t>pfd</w:t>
            </w:r>
            <w:proofErr w:type="spellEnd"/>
            <w:r w:rsidRPr="004E5DFF">
              <w:t xml:space="preserve"> masks to coordination under No. 9.7 for broadcasting-satellite service networks in the band 21.4-22 GHz in Regions 1 and 3</w:t>
            </w:r>
          </w:p>
        </w:tc>
        <w:tc>
          <w:tcPr>
            <w:tcW w:w="7223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jc w:val="center"/>
            </w:pPr>
            <w:r w:rsidRPr="004E5DFF">
              <w:t>–</w:t>
            </w:r>
          </w:p>
        </w:tc>
        <w:tc>
          <w:tcPr>
            <w:tcW w:w="1088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555</w:t>
            </w:r>
          </w:p>
        </w:tc>
        <w:tc>
          <w:tcPr>
            <w:tcW w:w="4395" w:type="dxa"/>
            <w:shd w:val="clear" w:color="auto" w:fill="auto"/>
          </w:tcPr>
          <w:p w:rsidR="00DD3B31" w:rsidRPr="004E5DFF" w:rsidRDefault="00DD3B31" w:rsidP="0017209B">
            <w:pPr>
              <w:pStyle w:val="Tabletext"/>
            </w:pPr>
            <w:r w:rsidRPr="004E5DFF">
              <w:t>Additional regulatory provisions for broadcasting-satellite service networks in the band 21.4-22 GHz in Regions 1 and 3 for the enhancement of equitable access to this band</w:t>
            </w:r>
          </w:p>
        </w:tc>
        <w:tc>
          <w:tcPr>
            <w:tcW w:w="7223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jc w:val="center"/>
            </w:pPr>
            <w:r w:rsidRPr="004E5DFF">
              <w:t>–</w:t>
            </w:r>
          </w:p>
        </w:tc>
        <w:tc>
          <w:tcPr>
            <w:tcW w:w="1088" w:type="dxa"/>
            <w:shd w:val="clear" w:color="auto" w:fill="auto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608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2C2BBD">
              <w:t>Use of 1 215-1 300 MHz band by systems in the RNSS (space-to-Earth)</w:t>
            </w:r>
          </w:p>
        </w:tc>
        <w:tc>
          <w:tcPr>
            <w:tcW w:w="7223" w:type="dxa"/>
          </w:tcPr>
          <w:p w:rsidR="00DD3B31" w:rsidRPr="002207DE" w:rsidRDefault="00DD3B31" w:rsidP="0017209B">
            <w:pPr>
              <w:pStyle w:val="Tabletext"/>
              <w:rPr>
                <w:bCs/>
                <w:lang w:eastAsia="ja-JP"/>
              </w:rPr>
            </w:pPr>
            <w:r w:rsidRPr="002207DE">
              <w:rPr>
                <w:bCs/>
              </w:rPr>
              <w:t>Still relevant</w:t>
            </w:r>
            <w:r w:rsidRPr="002207DE">
              <w:rPr>
                <w:bCs/>
                <w:lang w:eastAsia="ja-JP"/>
              </w:rPr>
              <w:t xml:space="preserve">. </w:t>
            </w:r>
            <w:r w:rsidRPr="002207DE">
              <w:rPr>
                <w:bCs/>
              </w:rPr>
              <w:t>This Resolution is referred to in No. </w:t>
            </w:r>
            <w:r w:rsidRPr="0097541B">
              <w:rPr>
                <w:b/>
                <w:bCs/>
              </w:rPr>
              <w:t>5.329</w:t>
            </w:r>
            <w:r w:rsidRPr="002207DE">
              <w:rPr>
                <w:bCs/>
              </w:rPr>
              <w:t>.</w:t>
            </w:r>
          </w:p>
          <w:p w:rsidR="00DD3B31" w:rsidRPr="002C2BBD" w:rsidRDefault="00DD3B31" w:rsidP="0017209B">
            <w:pPr>
              <w:pStyle w:val="Tabletext"/>
            </w:pPr>
            <w:r w:rsidRPr="002207DE">
              <w:rPr>
                <w:bCs/>
                <w:lang w:eastAsia="ja-JP"/>
              </w:rPr>
              <w:t xml:space="preserve">CPM Report </w:t>
            </w:r>
            <w:r>
              <w:rPr>
                <w:rFonts w:hint="eastAsia"/>
                <w:bCs/>
                <w:lang w:eastAsia="ja-JP"/>
              </w:rPr>
              <w:t xml:space="preserve">to WRC-12 </w:t>
            </w:r>
            <w:r w:rsidRPr="002207DE">
              <w:rPr>
                <w:bCs/>
                <w:lang w:eastAsia="ja-JP"/>
              </w:rPr>
              <w:t>suggests that the modification may be necessary due to the development of new relevant ITU-R Recommendations, or that it could be suppressed with the reason that no more study is needed. WRC-12 should make an appropriate decision depending on the latest status of the ITU</w:t>
            </w:r>
            <w:r>
              <w:rPr>
                <w:bCs/>
                <w:lang w:eastAsia="ja-JP"/>
              </w:rPr>
              <w:noBreakHyphen/>
            </w:r>
            <w:r w:rsidRPr="002207DE">
              <w:rPr>
                <w:bCs/>
                <w:lang w:eastAsia="ja-JP"/>
              </w:rPr>
              <w:t>R studies.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609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686E4E">
              <w:rPr>
                <w:bCs/>
              </w:rPr>
              <w:t xml:space="preserve">Protection of ARNS from the </w:t>
            </w:r>
            <w:proofErr w:type="spellStart"/>
            <w:r w:rsidRPr="00686E4E">
              <w:rPr>
                <w:bCs/>
              </w:rPr>
              <w:t>epfd</w:t>
            </w:r>
            <w:proofErr w:type="spellEnd"/>
            <w:r w:rsidRPr="00686E4E">
              <w:rPr>
                <w:bCs/>
              </w:rPr>
              <w:t xml:space="preserve"> produced by RNSS networks and systems in the 1 164-1 215 MHz band</w:t>
            </w:r>
          </w:p>
        </w:tc>
        <w:tc>
          <w:tcPr>
            <w:tcW w:w="7223" w:type="dxa"/>
          </w:tcPr>
          <w:p w:rsidR="00DD3B31" w:rsidRPr="002C2BBD" w:rsidRDefault="00DD3B31" w:rsidP="0017209B">
            <w:pPr>
              <w:pStyle w:val="Tabletext"/>
            </w:pPr>
            <w:r w:rsidRPr="002207DE">
              <w:rPr>
                <w:bCs/>
              </w:rPr>
              <w:t>Still relevant</w:t>
            </w:r>
            <w:r w:rsidRPr="002207DE">
              <w:rPr>
                <w:bCs/>
                <w:lang w:eastAsia="ja-JP"/>
              </w:rPr>
              <w:t xml:space="preserve">. </w:t>
            </w:r>
            <w:r w:rsidRPr="002207DE">
              <w:rPr>
                <w:bCs/>
              </w:rPr>
              <w:t>This Resolution is referred to in No. </w:t>
            </w:r>
            <w:r w:rsidRPr="0097541B">
              <w:rPr>
                <w:b/>
                <w:bCs/>
              </w:rPr>
              <w:t>5.328A</w:t>
            </w:r>
            <w:r w:rsidRPr="002207DE">
              <w:rPr>
                <w:bCs/>
              </w:rPr>
              <w:t>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610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</w:pPr>
            <w:r w:rsidRPr="002C2BBD">
              <w:t>Coordination of RNSS networks and systems in the bands 1 164-1 300 MHz, 1 559-1 610 MHz and 5 010-5 030 MHz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rPr>
                <w:rStyle w:val="FootnoteReference"/>
                <w:color w:val="000000"/>
                <w:highlight w:val="yellow"/>
              </w:rPr>
            </w:pPr>
            <w:r w:rsidRPr="002207DE">
              <w:rPr>
                <w:bCs/>
              </w:rPr>
              <w:t>Still relevant</w:t>
            </w:r>
            <w:r w:rsidRPr="002207DE">
              <w:rPr>
                <w:bCs/>
                <w:lang w:eastAsia="ja-JP"/>
              </w:rPr>
              <w:t xml:space="preserve">. </w:t>
            </w:r>
            <w:r w:rsidRPr="002207DE">
              <w:rPr>
                <w:bCs/>
              </w:rPr>
              <w:t>This Resolution is referred to in No. </w:t>
            </w:r>
            <w:r w:rsidRPr="0097541B">
              <w:rPr>
                <w:b/>
                <w:bCs/>
              </w:rPr>
              <w:t>5.328B</w:t>
            </w:r>
            <w:r w:rsidRPr="002207DE">
              <w:rPr>
                <w:bCs/>
              </w:rPr>
              <w:t>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jc w:val="center"/>
              <w:rPr>
                <w:highlight w:val="yellow"/>
              </w:rPr>
            </w:pPr>
            <w:r w:rsidRPr="002C2BBD"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DD3B31" w:rsidRPr="00E969CC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E969CC">
              <w:rPr>
                <w:rFonts w:hint="eastAsia"/>
                <w:color w:val="000000"/>
                <w:lang w:eastAsia="ja-JP"/>
              </w:rPr>
              <w:t>612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D3B31" w:rsidRPr="002C2BBD" w:rsidRDefault="00DD3B31" w:rsidP="0017209B">
            <w:pPr>
              <w:pStyle w:val="Tabletext"/>
            </w:pPr>
            <w:r w:rsidRPr="00686E4E">
              <w:t>Use of the radiolocation service between 3 and 50 MHz to support oceanographic radar operations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:rsidR="00DD3B31" w:rsidRPr="002C2BBD" w:rsidRDefault="00DD3B31" w:rsidP="0017209B">
            <w:pPr>
              <w:pStyle w:val="Tabletext"/>
            </w:pPr>
            <w:r w:rsidRPr="002207DE">
              <w:rPr>
                <w:bCs/>
                <w:lang w:eastAsia="ja-JP"/>
              </w:rPr>
              <w:t xml:space="preserve">Modifications are proposed for technical and regulatory requirements for oceanographic radar operation (see </w:t>
            </w:r>
            <w:r w:rsidRPr="002207DE">
              <w:rPr>
                <w:bCs/>
              </w:rPr>
              <w:t>ASP/</w:t>
            </w:r>
            <w:r w:rsidRPr="002207DE">
              <w:rPr>
                <w:bCs/>
                <w:lang w:eastAsia="ja-JP"/>
              </w:rPr>
              <w:t>26A15</w:t>
            </w:r>
            <w:r w:rsidRPr="002207DE">
              <w:rPr>
                <w:bCs/>
              </w:rPr>
              <w:t>/23under WRC-</w:t>
            </w:r>
            <w:r w:rsidRPr="002207DE">
              <w:rPr>
                <w:bCs/>
                <w:lang w:eastAsia="ja-JP"/>
              </w:rPr>
              <w:t>12</w:t>
            </w:r>
            <w:r w:rsidRPr="002207DE">
              <w:rPr>
                <w:bCs/>
              </w:rPr>
              <w:t xml:space="preserve"> Agenda item 1.</w:t>
            </w:r>
            <w:r w:rsidRPr="002207DE">
              <w:rPr>
                <w:bCs/>
                <w:lang w:eastAsia="ja-JP"/>
              </w:rPr>
              <w:t>15)</w:t>
            </w:r>
            <w:r w:rsidRPr="002207DE">
              <w:rPr>
                <w:bCs/>
              </w:rPr>
              <w:t>.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641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2C2BBD">
              <w:t>Use of the band 7 000-7 100 kHz</w:t>
            </w:r>
          </w:p>
        </w:tc>
        <w:tc>
          <w:tcPr>
            <w:tcW w:w="7223" w:type="dxa"/>
          </w:tcPr>
          <w:p w:rsidR="00DD3B31" w:rsidRPr="00A55A90" w:rsidRDefault="00DD3B31" w:rsidP="0017209B">
            <w:pPr>
              <w:pStyle w:val="Tabletext"/>
              <w:rPr>
                <w:rStyle w:val="FootnoteReference"/>
                <w:lang w:eastAsia="ja-JP"/>
              </w:rPr>
            </w:pPr>
            <w:r w:rsidRPr="002C2BBD">
              <w:t>Still relevant.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lastRenderedPageBreak/>
              <w:t>642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2C2BBD">
              <w:t>Earth stations in the amateur</w:t>
            </w:r>
            <w:r>
              <w:rPr>
                <w:rFonts w:hint="eastAsia"/>
                <w:lang w:eastAsia="ja-JP"/>
              </w:rPr>
              <w:t>-</w:t>
            </w:r>
            <w:r w:rsidRPr="002C2BBD">
              <w:t>satellite service</w:t>
            </w:r>
          </w:p>
        </w:tc>
        <w:tc>
          <w:tcPr>
            <w:tcW w:w="7223" w:type="dxa"/>
          </w:tcPr>
          <w:p w:rsidR="00DD3B31" w:rsidRPr="002C2BBD" w:rsidRDefault="00DD3B31" w:rsidP="0017209B">
            <w:pPr>
              <w:pStyle w:val="Tabletext"/>
            </w:pPr>
            <w:r w:rsidRPr="002C2BBD">
              <w:t>Still relevant.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644</w:t>
            </w:r>
          </w:p>
        </w:tc>
        <w:tc>
          <w:tcPr>
            <w:tcW w:w="4395" w:type="dxa"/>
          </w:tcPr>
          <w:p w:rsidR="00DD3B31" w:rsidRPr="002C2BBD" w:rsidRDefault="00DD3B31" w:rsidP="0017209B">
            <w:pPr>
              <w:pStyle w:val="Tabletext"/>
            </w:pPr>
            <w:r w:rsidRPr="00686E4E">
              <w:rPr>
                <w:bCs/>
                <w:lang w:eastAsia="ja-JP"/>
              </w:rPr>
              <w:t>Early warning, d</w:t>
            </w:r>
            <w:r w:rsidRPr="00686E4E">
              <w:rPr>
                <w:bCs/>
              </w:rPr>
              <w:t xml:space="preserve">isaster </w:t>
            </w:r>
            <w:r w:rsidRPr="00686E4E">
              <w:rPr>
                <w:bCs/>
                <w:lang w:eastAsia="ja-JP"/>
              </w:rPr>
              <w:t>mitigation and relief operation</w:t>
            </w:r>
          </w:p>
        </w:tc>
        <w:tc>
          <w:tcPr>
            <w:tcW w:w="7223" w:type="dxa"/>
          </w:tcPr>
          <w:p w:rsidR="00DD3B31" w:rsidRPr="002C2BBD" w:rsidRDefault="00DD3B31" w:rsidP="0017209B">
            <w:pPr>
              <w:pStyle w:val="Tabletext"/>
            </w:pPr>
            <w:r w:rsidRPr="002207DE">
              <w:rPr>
                <w:bCs/>
              </w:rPr>
              <w:t>Still relevant.</w:t>
            </w:r>
            <w:r w:rsidRPr="002207DE">
              <w:rPr>
                <w:bCs/>
                <w:lang w:eastAsia="ja-JP"/>
              </w:rPr>
              <w:t xml:space="preserve"> The ITU-R studies invited in this Resolution have made fair progress. Recommendations ITU-R M.1854 and S.1001-2, and Reports ITU-R M.2149 and S.2151 are in force. These points may be reflected in the updated text.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646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97541B" w:rsidRDefault="00DD3B31" w:rsidP="0017209B">
            <w:pPr>
              <w:pStyle w:val="Tabletext"/>
            </w:pPr>
            <w:r w:rsidRPr="0097541B">
              <w:t>Public protection and disaster relief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97541B" w:rsidRDefault="00DD3B31" w:rsidP="0017209B">
            <w:pPr>
              <w:pStyle w:val="Tabletext"/>
              <w:rPr>
                <w:b/>
                <w:lang w:eastAsia="ja-JP"/>
              </w:rPr>
            </w:pPr>
            <w:r w:rsidRPr="0097541B">
              <w:t>For consideration by WRC-</w:t>
            </w:r>
            <w:r w:rsidRPr="0097541B">
              <w:rPr>
                <w:lang w:eastAsia="ja-JP"/>
              </w:rPr>
              <w:t>15 (</w:t>
            </w:r>
            <w:r w:rsidRPr="0097541B">
              <w:rPr>
                <w:b/>
              </w:rPr>
              <w:t>Agenda item 1.</w:t>
            </w:r>
            <w:r w:rsidRPr="0097541B">
              <w:rPr>
                <w:b/>
                <w:lang w:eastAsia="ja-JP"/>
              </w:rPr>
              <w:t>3)</w:t>
            </w:r>
            <w:r w:rsidRPr="0097541B">
              <w:rPr>
                <w:b/>
              </w:rPr>
              <w:t>.</w:t>
            </w:r>
          </w:p>
          <w:p w:rsidR="00DD3B31" w:rsidRPr="0097541B" w:rsidRDefault="00DD3B31" w:rsidP="0017209B">
            <w:pPr>
              <w:pStyle w:val="Tabletext"/>
              <w:rPr>
                <w:lang w:eastAsia="ja-JP"/>
              </w:rPr>
            </w:pPr>
            <w:r w:rsidRPr="0097541B">
              <w:rPr>
                <w:bCs/>
              </w:rPr>
              <w:t>Still relevant.</w:t>
            </w:r>
            <w:r w:rsidRPr="0097541B">
              <w:rPr>
                <w:bCs/>
                <w:lang w:eastAsia="ja-JP"/>
              </w:rPr>
              <w:t xml:space="preserve"> Similarly to the above, the ITU-R studies invited in this Resolution have made fair progress. The term “IMT-2000” could be converted to “IMT”.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97541B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97541B">
              <w:rPr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C0C0C0"/>
          </w:tcPr>
          <w:p w:rsidR="00DD3B31" w:rsidRPr="003B5EDC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647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C0C0C0"/>
          </w:tcPr>
          <w:p w:rsidR="00DD3B31" w:rsidRPr="0097541B" w:rsidRDefault="00DD3B31" w:rsidP="0017209B">
            <w:pPr>
              <w:rPr>
                <w:sz w:val="22"/>
                <w:szCs w:val="22"/>
              </w:rPr>
            </w:pPr>
            <w:r w:rsidRPr="0097541B">
              <w:rPr>
                <w:sz w:val="22"/>
                <w:szCs w:val="22"/>
              </w:rPr>
              <w:t>Spectrum management guidelines for emergency and disaster relief radiocommunication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C0C0C0"/>
          </w:tcPr>
          <w:p w:rsidR="00DD3B31" w:rsidRPr="0097541B" w:rsidRDefault="00DD3B31" w:rsidP="0017209B">
            <w:pPr>
              <w:pStyle w:val="Tabletext"/>
              <w:rPr>
                <w:lang w:eastAsia="ja-JP"/>
              </w:rPr>
            </w:pPr>
            <w:r w:rsidRPr="00752BA2">
              <w:rPr>
                <w:szCs w:val="22"/>
              </w:rPr>
              <w:t>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</w:t>
            </w:r>
            <w:r>
              <w:rPr>
                <w:rFonts w:hint="eastAsia"/>
                <w:b/>
                <w:szCs w:val="22"/>
                <w:lang w:eastAsia="ja-JP"/>
              </w:rPr>
              <w:t>9</w:t>
            </w:r>
            <w:r w:rsidRPr="00752BA2">
              <w:rPr>
                <w:b/>
                <w:szCs w:val="22"/>
              </w:rPr>
              <w:t>.</w:t>
            </w:r>
            <w:r>
              <w:rPr>
                <w:rFonts w:hint="eastAsia"/>
                <w:b/>
                <w:szCs w:val="22"/>
                <w:lang w:eastAsia="ja-JP"/>
              </w:rPr>
              <w:t>1.7</w:t>
            </w:r>
            <w:r w:rsidRPr="00752BA2">
              <w:rPr>
                <w:b/>
                <w:szCs w:val="22"/>
                <w:lang w:eastAsia="ja-JP"/>
              </w:rPr>
              <w:t>)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C0C0C0"/>
          </w:tcPr>
          <w:p w:rsidR="00DD3B31" w:rsidRPr="0097541B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97541B">
              <w:rPr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C0C0C0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4E5DFF" w:rsidTr="0017209B">
        <w:trPr>
          <w:cantSplit/>
          <w:jc w:val="center"/>
        </w:trPr>
        <w:tc>
          <w:tcPr>
            <w:tcW w:w="971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648</w:t>
            </w:r>
          </w:p>
        </w:tc>
        <w:tc>
          <w:tcPr>
            <w:tcW w:w="4395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rPr>
                <w:lang w:eastAsia="ja-JP"/>
              </w:rPr>
            </w:pPr>
            <w:r w:rsidRPr="00752BA2">
              <w:rPr>
                <w:lang w:eastAsia="ja-JP"/>
              </w:rPr>
              <w:t>Studies to support broadband public protection and disaster relief</w:t>
            </w:r>
          </w:p>
        </w:tc>
        <w:tc>
          <w:tcPr>
            <w:tcW w:w="7223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both"/>
            </w:pPr>
            <w:r w:rsidRPr="00752BA2">
              <w:t>For consideration by WRC-</w:t>
            </w:r>
            <w:r w:rsidRPr="00752BA2">
              <w:rPr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b/>
                <w:lang w:eastAsia="ja-JP"/>
              </w:rPr>
              <w:t>3)</w:t>
            </w:r>
            <w:r w:rsidRPr="00752BA2">
              <w:rPr>
                <w:b/>
              </w:rPr>
              <w:t>.</w:t>
            </w:r>
          </w:p>
        </w:tc>
        <w:tc>
          <w:tcPr>
            <w:tcW w:w="1088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BFBFBF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4E5DFF" w:rsidTr="0017209B">
        <w:trPr>
          <w:cantSplit/>
          <w:jc w:val="center"/>
        </w:trPr>
        <w:tc>
          <w:tcPr>
            <w:tcW w:w="971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649</w:t>
            </w:r>
          </w:p>
        </w:tc>
        <w:tc>
          <w:tcPr>
            <w:tcW w:w="4395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rPr>
                <w:lang w:eastAsia="ja-JP"/>
              </w:rPr>
            </w:pPr>
            <w:r w:rsidRPr="00752BA2">
              <w:t xml:space="preserve">Possible allocation to the amateur service on a secondary </w:t>
            </w:r>
            <w:proofErr w:type="spellStart"/>
            <w:r w:rsidRPr="00752BA2">
              <w:t>basisat</w:t>
            </w:r>
            <w:proofErr w:type="spellEnd"/>
            <w:r w:rsidRPr="00752BA2">
              <w:t xml:space="preserve"> around 5 300 kHz</w:t>
            </w:r>
          </w:p>
        </w:tc>
        <w:tc>
          <w:tcPr>
            <w:tcW w:w="7223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both"/>
            </w:pPr>
            <w:r w:rsidRPr="00752BA2">
              <w:t>For consideration by WRC-</w:t>
            </w:r>
            <w:r w:rsidRPr="00752BA2">
              <w:rPr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b/>
                <w:lang w:eastAsia="ja-JP"/>
              </w:rPr>
              <w:t>4)</w:t>
            </w:r>
            <w:r w:rsidRPr="00752BA2">
              <w:rPr>
                <w:b/>
              </w:rPr>
              <w:t>.</w:t>
            </w:r>
          </w:p>
        </w:tc>
        <w:tc>
          <w:tcPr>
            <w:tcW w:w="1088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BFBFBF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4E5DFF" w:rsidTr="0017209B">
        <w:trPr>
          <w:cantSplit/>
          <w:jc w:val="center"/>
        </w:trPr>
        <w:tc>
          <w:tcPr>
            <w:tcW w:w="971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650</w:t>
            </w:r>
          </w:p>
        </w:tc>
        <w:tc>
          <w:tcPr>
            <w:tcW w:w="4395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</w:pPr>
            <w:r w:rsidRPr="00752BA2">
              <w:t>Allocation for the Earth exploration-satellite service (Earth-to-space) in the 7-8 GHz range</w:t>
            </w:r>
          </w:p>
        </w:tc>
        <w:tc>
          <w:tcPr>
            <w:tcW w:w="7223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both"/>
            </w:pPr>
            <w:r w:rsidRPr="00752BA2">
              <w:t>For consideration by WRC-</w:t>
            </w:r>
            <w:r w:rsidRPr="00752BA2">
              <w:rPr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b/>
                <w:lang w:eastAsia="ja-JP"/>
              </w:rPr>
              <w:t>11)</w:t>
            </w:r>
          </w:p>
        </w:tc>
        <w:tc>
          <w:tcPr>
            <w:tcW w:w="1088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BFBFBF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4E5DFF" w:rsidTr="0017209B">
        <w:trPr>
          <w:cantSplit/>
          <w:jc w:val="center"/>
        </w:trPr>
        <w:tc>
          <w:tcPr>
            <w:tcW w:w="971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651</w:t>
            </w:r>
          </w:p>
        </w:tc>
        <w:tc>
          <w:tcPr>
            <w:tcW w:w="4395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</w:pPr>
            <w:r w:rsidRPr="00752BA2">
              <w:t>Possible extension of the current worldwide allocation to the Earth exploration-satellite (active) service in the frequency band 9 300-9 900 MHz by up to 600 MHz within the frequency bands 8 700-9 300 MHz and/or 9 900-10 500 MHz</w:t>
            </w:r>
          </w:p>
        </w:tc>
        <w:tc>
          <w:tcPr>
            <w:tcW w:w="7223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both"/>
            </w:pPr>
            <w:r w:rsidRPr="00752BA2">
              <w:t>For consideration by WRC-</w:t>
            </w:r>
            <w:r w:rsidRPr="00752BA2">
              <w:rPr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b/>
                <w:lang w:eastAsia="ja-JP"/>
              </w:rPr>
              <w:t>12)</w:t>
            </w:r>
          </w:p>
        </w:tc>
        <w:tc>
          <w:tcPr>
            <w:tcW w:w="1088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BFBFBF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4E5DFF" w:rsidTr="0017209B">
        <w:trPr>
          <w:cantSplit/>
          <w:jc w:val="center"/>
        </w:trPr>
        <w:tc>
          <w:tcPr>
            <w:tcW w:w="971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652</w:t>
            </w:r>
          </w:p>
        </w:tc>
        <w:tc>
          <w:tcPr>
            <w:tcW w:w="4395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</w:pPr>
            <w:r w:rsidRPr="00752BA2">
              <w:t>Use of the band 410-420 MHz by the space research service (space-to-space)</w:t>
            </w:r>
          </w:p>
        </w:tc>
        <w:tc>
          <w:tcPr>
            <w:tcW w:w="7223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both"/>
            </w:pPr>
            <w:r w:rsidRPr="00752BA2">
              <w:t>For consideration by WRC-</w:t>
            </w:r>
            <w:r w:rsidRPr="00752BA2">
              <w:rPr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b/>
                <w:lang w:eastAsia="ja-JP"/>
              </w:rPr>
              <w:t>13)</w:t>
            </w:r>
          </w:p>
        </w:tc>
        <w:tc>
          <w:tcPr>
            <w:tcW w:w="1088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BFBFBF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4E5DFF" w:rsidTr="0017209B">
        <w:trPr>
          <w:cantSplit/>
          <w:jc w:val="center"/>
        </w:trPr>
        <w:tc>
          <w:tcPr>
            <w:tcW w:w="971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653</w:t>
            </w:r>
          </w:p>
        </w:tc>
        <w:tc>
          <w:tcPr>
            <w:tcW w:w="4395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</w:pPr>
            <w:r w:rsidRPr="00752BA2">
              <w:t>Future of the Coordinated Universal Time time-scale</w:t>
            </w:r>
          </w:p>
        </w:tc>
        <w:tc>
          <w:tcPr>
            <w:tcW w:w="7223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both"/>
            </w:pPr>
            <w:r w:rsidRPr="00752BA2">
              <w:t>For consideration by WRC-</w:t>
            </w:r>
            <w:r w:rsidRPr="00752BA2">
              <w:rPr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b/>
                <w:lang w:eastAsia="ja-JP"/>
              </w:rPr>
              <w:t>14)</w:t>
            </w:r>
          </w:p>
        </w:tc>
        <w:tc>
          <w:tcPr>
            <w:tcW w:w="1088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BFBFBF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4E5DFF" w:rsidTr="0017209B">
        <w:trPr>
          <w:cantSplit/>
          <w:jc w:val="center"/>
        </w:trPr>
        <w:tc>
          <w:tcPr>
            <w:tcW w:w="971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lastRenderedPageBreak/>
              <w:t>654</w:t>
            </w:r>
          </w:p>
        </w:tc>
        <w:tc>
          <w:tcPr>
            <w:tcW w:w="4395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</w:pPr>
            <w:r w:rsidRPr="00752BA2">
              <w:t xml:space="preserve">Allocation of the band 77.5-78 GHz to the radiolocation service to support automotive short-range high-resolution </w:t>
            </w:r>
            <w:proofErr w:type="spellStart"/>
            <w:r w:rsidRPr="00752BA2">
              <w:t>radaroperations</w:t>
            </w:r>
            <w:proofErr w:type="spellEnd"/>
          </w:p>
        </w:tc>
        <w:tc>
          <w:tcPr>
            <w:tcW w:w="7223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both"/>
            </w:pPr>
            <w:r w:rsidRPr="00752BA2">
              <w:t>For consideration by WRC-</w:t>
            </w:r>
            <w:r w:rsidRPr="00752BA2">
              <w:rPr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b/>
                <w:lang w:eastAsia="ja-JP"/>
              </w:rPr>
              <w:t>18)</w:t>
            </w:r>
          </w:p>
        </w:tc>
        <w:tc>
          <w:tcPr>
            <w:tcW w:w="1088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BFBFBF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3B5EDC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673</w:t>
            </w:r>
          </w:p>
        </w:tc>
        <w:tc>
          <w:tcPr>
            <w:tcW w:w="4395" w:type="dxa"/>
            <w:shd w:val="clear" w:color="auto" w:fill="auto"/>
          </w:tcPr>
          <w:p w:rsidR="00DD3B31" w:rsidRPr="0097541B" w:rsidRDefault="00DD3B31" w:rsidP="0017209B">
            <w:pPr>
              <w:rPr>
                <w:sz w:val="22"/>
                <w:szCs w:val="22"/>
              </w:rPr>
            </w:pPr>
            <w:r w:rsidRPr="0097541B">
              <w:rPr>
                <w:sz w:val="22"/>
                <w:szCs w:val="22"/>
              </w:rPr>
              <w:t>The importance of Earth observation radiocommunication applications</w:t>
            </w:r>
          </w:p>
        </w:tc>
        <w:tc>
          <w:tcPr>
            <w:tcW w:w="7223" w:type="dxa"/>
            <w:shd w:val="clear" w:color="auto" w:fill="auto"/>
          </w:tcPr>
          <w:p w:rsidR="00DD3B31" w:rsidRPr="0097541B" w:rsidRDefault="00DD3B31" w:rsidP="0017209B">
            <w:pPr>
              <w:pStyle w:val="Tabletext"/>
              <w:jc w:val="both"/>
              <w:rPr>
                <w:szCs w:val="22"/>
              </w:rPr>
            </w:pPr>
            <w:r w:rsidRPr="0097541B">
              <w:rPr>
                <w:bCs/>
                <w:szCs w:val="22"/>
              </w:rPr>
              <w:t>Still relevant</w:t>
            </w:r>
            <w:r w:rsidRPr="0097541B">
              <w:rPr>
                <w:bCs/>
                <w:szCs w:val="22"/>
                <w:lang w:eastAsia="ja-JP"/>
              </w:rPr>
              <w:t xml:space="preserve"> under </w:t>
            </w:r>
            <w:r>
              <w:rPr>
                <w:rFonts w:hint="eastAsia"/>
                <w:bCs/>
                <w:szCs w:val="22"/>
                <w:lang w:eastAsia="ja-JP"/>
              </w:rPr>
              <w:t>WRC-12 (</w:t>
            </w:r>
            <w:r w:rsidRPr="00E214A1">
              <w:rPr>
                <w:bCs/>
                <w:szCs w:val="22"/>
                <w:lang w:eastAsia="ja-JP"/>
              </w:rPr>
              <w:t>Agenda item 8.1.1</w:t>
            </w:r>
            <w:r w:rsidRPr="0097541B">
              <w:rPr>
                <w:bCs/>
                <w:szCs w:val="22"/>
                <w:lang w:eastAsia="ja-JP"/>
              </w:rPr>
              <w:t>(</w:t>
            </w:r>
            <w:r w:rsidRPr="00E214A1">
              <w:rPr>
                <w:bCs/>
                <w:szCs w:val="22"/>
                <w:lang w:eastAsia="ja-JP"/>
              </w:rPr>
              <w:t>Issue C</w:t>
            </w:r>
            <w:r>
              <w:rPr>
                <w:rFonts w:hint="eastAsia"/>
                <w:b/>
                <w:bCs/>
                <w:szCs w:val="22"/>
                <w:lang w:eastAsia="ja-JP"/>
              </w:rPr>
              <w:t>)</w:t>
            </w:r>
            <w:r w:rsidRPr="0097541B">
              <w:rPr>
                <w:bCs/>
                <w:szCs w:val="22"/>
                <w:lang w:eastAsia="ja-JP"/>
              </w:rPr>
              <w:t>).</w:t>
            </w:r>
          </w:p>
        </w:tc>
        <w:tc>
          <w:tcPr>
            <w:tcW w:w="1088" w:type="dxa"/>
            <w:shd w:val="clear" w:color="auto" w:fill="auto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shd w:val="clear" w:color="auto" w:fill="auto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703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</w:rPr>
              <w:t>Calculation methods and interference criteria recommended by ITU-R for sharing frequency bands between space and terrestrial services or between space services</w:t>
            </w:r>
          </w:p>
        </w:tc>
        <w:tc>
          <w:tcPr>
            <w:tcW w:w="7223" w:type="dxa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  <w:lang w:eastAsia="ja-JP"/>
              </w:rPr>
              <w:t>The list of the relevant ITU-R Recommendations have been and will be prepared electronically by the BR.</w:t>
            </w:r>
          </w:p>
        </w:tc>
        <w:tc>
          <w:tcPr>
            <w:tcW w:w="1088" w:type="dxa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trHeight w:val="458"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705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Protection of services in 70-130 kHz</w:t>
            </w:r>
          </w:p>
        </w:tc>
        <w:tc>
          <w:tcPr>
            <w:tcW w:w="7223" w:type="dxa"/>
            <w:shd w:val="clear" w:color="auto" w:fill="auto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</w:rPr>
              <w:t>Some elements still relevant; for consideration by a future WRC</w:t>
            </w:r>
            <w:r w:rsidRPr="0097541B">
              <w:rPr>
                <w:bCs/>
                <w:szCs w:val="22"/>
                <w:lang w:eastAsia="ja-JP"/>
              </w:rPr>
              <w:t>, inviting Council to place on the agenda of the next WRC.</w:t>
            </w:r>
          </w:p>
        </w:tc>
        <w:tc>
          <w:tcPr>
            <w:tcW w:w="1088" w:type="dxa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</w:rPr>
            </w:pPr>
            <w:r w:rsidRPr="0097541B">
              <w:rPr>
                <w:szCs w:val="22"/>
              </w:rPr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716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</w:rPr>
              <w:t>Use of bands around 2 GHz</w:t>
            </w:r>
            <w:r w:rsidRPr="0097541B">
              <w:rPr>
                <w:bCs/>
                <w:szCs w:val="22"/>
                <w:lang w:eastAsia="ja-JP"/>
              </w:rPr>
              <w:t xml:space="preserve"> by FS and MSS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D3B31" w:rsidRPr="0097541B" w:rsidRDefault="00DD3B31" w:rsidP="0017209B">
            <w:pPr>
              <w:pStyle w:val="Tabletext"/>
              <w:rPr>
                <w:bCs/>
                <w:szCs w:val="22"/>
                <w:lang w:eastAsia="ja-JP"/>
              </w:rPr>
            </w:pPr>
            <w:r w:rsidRPr="0097541B">
              <w:rPr>
                <w:bCs/>
                <w:szCs w:val="22"/>
                <w:lang w:eastAsia="ja-JP"/>
              </w:rPr>
              <w:t>T</w:t>
            </w:r>
            <w:r w:rsidRPr="0097541B">
              <w:rPr>
                <w:bCs/>
                <w:szCs w:val="22"/>
              </w:rPr>
              <w:t xml:space="preserve">his Resolution is referred to in Nos. </w:t>
            </w:r>
            <w:r w:rsidRPr="0097541B">
              <w:rPr>
                <w:b/>
                <w:bCs/>
                <w:szCs w:val="22"/>
              </w:rPr>
              <w:t>5.389A</w:t>
            </w:r>
            <w:r w:rsidRPr="0097541B">
              <w:rPr>
                <w:bCs/>
                <w:szCs w:val="22"/>
              </w:rPr>
              <w:t xml:space="preserve">, </w:t>
            </w:r>
            <w:r w:rsidRPr="0097541B">
              <w:rPr>
                <w:b/>
                <w:bCs/>
                <w:szCs w:val="22"/>
              </w:rPr>
              <w:t>5.389C</w:t>
            </w:r>
            <w:r w:rsidRPr="0097541B">
              <w:rPr>
                <w:bCs/>
                <w:szCs w:val="22"/>
              </w:rPr>
              <w:t xml:space="preserve"> and </w:t>
            </w:r>
            <w:r w:rsidRPr="0097541B">
              <w:rPr>
                <w:b/>
                <w:bCs/>
                <w:szCs w:val="22"/>
              </w:rPr>
              <w:t>5.390</w:t>
            </w:r>
            <w:r w:rsidRPr="0097541B">
              <w:rPr>
                <w:bCs/>
                <w:szCs w:val="22"/>
              </w:rPr>
              <w:t>.</w:t>
            </w:r>
          </w:p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  <w:lang w:eastAsia="ja-JP"/>
              </w:rPr>
              <w:t>A part of the invited study has been completed, as the results are provided in Recommendation ITU-R F.1335. The term IMT-2000 be replaced with IMT.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729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Adaptive systems at MF/HF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  <w:lang w:eastAsia="ja-JP"/>
              </w:rPr>
              <w:t xml:space="preserve">Still relevant; this Resolution is referred to in several items in Table 1 of Annex 1 to Appendix </w:t>
            </w:r>
            <w:r w:rsidRPr="003353EC">
              <w:rPr>
                <w:b/>
                <w:bCs/>
                <w:szCs w:val="22"/>
                <w:lang w:eastAsia="ja-JP"/>
              </w:rPr>
              <w:t>4</w:t>
            </w:r>
            <w:r>
              <w:rPr>
                <w:bCs/>
                <w:szCs w:val="22"/>
                <w:lang w:eastAsia="ja-JP"/>
              </w:rPr>
              <w:t>. CPM Report</w:t>
            </w:r>
            <w:r>
              <w:rPr>
                <w:rFonts w:hint="eastAsia"/>
                <w:bCs/>
                <w:szCs w:val="22"/>
                <w:lang w:eastAsia="ja-JP"/>
              </w:rPr>
              <w:t xml:space="preserve"> to WRC-12</w:t>
            </w:r>
            <w:r w:rsidRPr="0097541B">
              <w:rPr>
                <w:bCs/>
                <w:szCs w:val="22"/>
                <w:lang w:eastAsia="ja-JP"/>
              </w:rPr>
              <w:t>suggests that it may be suppressed after WRC-12.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731</w:t>
            </w:r>
          </w:p>
        </w:tc>
        <w:tc>
          <w:tcPr>
            <w:tcW w:w="4395" w:type="dxa"/>
            <w:shd w:val="clear" w:color="auto" w:fill="auto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Sharing and adjacent-band compatibility between active and passive services above 71 GHz</w:t>
            </w:r>
          </w:p>
        </w:tc>
        <w:tc>
          <w:tcPr>
            <w:tcW w:w="7223" w:type="dxa"/>
            <w:shd w:val="clear" w:color="auto" w:fill="auto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  <w:lang w:eastAsia="ja-JP"/>
              </w:rPr>
              <w:t>The relevant study can be done by ITU-R without this Resolution (s</w:t>
            </w:r>
            <w:r w:rsidRPr="0097541B">
              <w:rPr>
                <w:bCs/>
                <w:szCs w:val="22"/>
              </w:rPr>
              <w:t>ee ASP/</w:t>
            </w:r>
            <w:r w:rsidRPr="0097541B">
              <w:rPr>
                <w:bCs/>
                <w:szCs w:val="22"/>
                <w:lang w:eastAsia="ja-JP"/>
              </w:rPr>
              <w:t>26A8</w:t>
            </w:r>
            <w:r w:rsidRPr="0097541B">
              <w:rPr>
                <w:bCs/>
                <w:szCs w:val="22"/>
              </w:rPr>
              <w:t>/2 under WRC-</w:t>
            </w:r>
            <w:r w:rsidRPr="0097541B">
              <w:rPr>
                <w:bCs/>
                <w:szCs w:val="22"/>
                <w:lang w:eastAsia="ja-JP"/>
              </w:rPr>
              <w:t>12</w:t>
            </w:r>
            <w:r w:rsidRPr="0097541B">
              <w:rPr>
                <w:bCs/>
                <w:szCs w:val="22"/>
              </w:rPr>
              <w:t xml:space="preserve"> Agenda item 1.</w:t>
            </w:r>
            <w:r w:rsidRPr="0097541B">
              <w:rPr>
                <w:bCs/>
                <w:szCs w:val="22"/>
                <w:lang w:eastAsia="ja-JP"/>
              </w:rPr>
              <w:t>8).</w:t>
            </w:r>
          </w:p>
        </w:tc>
        <w:tc>
          <w:tcPr>
            <w:tcW w:w="1088" w:type="dxa"/>
            <w:shd w:val="clear" w:color="auto" w:fill="auto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732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Sharing between active services above 71 GHz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  <w:lang w:eastAsia="ja-JP"/>
              </w:rPr>
              <w:t>The relevant study can be done by ITU-R without this Resolution (s</w:t>
            </w:r>
            <w:r w:rsidRPr="0097541B">
              <w:rPr>
                <w:bCs/>
                <w:szCs w:val="22"/>
              </w:rPr>
              <w:t>ee ASP/</w:t>
            </w:r>
            <w:r w:rsidRPr="0097541B">
              <w:rPr>
                <w:bCs/>
                <w:szCs w:val="22"/>
                <w:lang w:eastAsia="ja-JP"/>
              </w:rPr>
              <w:t>26A8</w:t>
            </w:r>
            <w:r w:rsidRPr="0097541B">
              <w:rPr>
                <w:bCs/>
                <w:szCs w:val="22"/>
              </w:rPr>
              <w:t>/</w:t>
            </w:r>
            <w:r w:rsidRPr="0097541B">
              <w:rPr>
                <w:bCs/>
                <w:szCs w:val="22"/>
                <w:lang w:eastAsia="ja-JP"/>
              </w:rPr>
              <w:t xml:space="preserve">3 </w:t>
            </w:r>
            <w:r w:rsidRPr="0097541B">
              <w:rPr>
                <w:bCs/>
                <w:szCs w:val="22"/>
              </w:rPr>
              <w:t>under WRC-</w:t>
            </w:r>
            <w:r w:rsidRPr="0097541B">
              <w:rPr>
                <w:bCs/>
                <w:szCs w:val="22"/>
                <w:lang w:eastAsia="ja-JP"/>
              </w:rPr>
              <w:t>12</w:t>
            </w:r>
            <w:r w:rsidRPr="0097541B">
              <w:rPr>
                <w:bCs/>
                <w:szCs w:val="22"/>
              </w:rPr>
              <w:t xml:space="preserve"> Agenda item 1.</w:t>
            </w:r>
            <w:r w:rsidRPr="0097541B">
              <w:rPr>
                <w:bCs/>
                <w:szCs w:val="22"/>
                <w:lang w:eastAsia="ja-JP"/>
              </w:rPr>
              <w:t>8).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739</w:t>
            </w:r>
          </w:p>
        </w:tc>
        <w:tc>
          <w:tcPr>
            <w:tcW w:w="4395" w:type="dxa"/>
            <w:shd w:val="clear" w:color="auto" w:fill="auto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Compatibility between RA and active space services</w:t>
            </w:r>
          </w:p>
        </w:tc>
        <w:tc>
          <w:tcPr>
            <w:tcW w:w="7223" w:type="dxa"/>
            <w:shd w:val="clear" w:color="auto" w:fill="auto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  <w:lang w:eastAsia="ja-JP"/>
              </w:rPr>
              <w:t xml:space="preserve">Still relevant. </w:t>
            </w:r>
            <w:r w:rsidRPr="0097541B">
              <w:rPr>
                <w:bCs/>
                <w:color w:val="000000"/>
                <w:szCs w:val="22"/>
              </w:rPr>
              <w:t xml:space="preserve">This Resolution is referred to in </w:t>
            </w:r>
            <w:r w:rsidRPr="0097541B">
              <w:rPr>
                <w:bCs/>
                <w:color w:val="000000"/>
                <w:szCs w:val="22"/>
                <w:lang w:eastAsia="ja-JP"/>
              </w:rPr>
              <w:t>Nos. </w:t>
            </w:r>
            <w:r w:rsidRPr="0097541B">
              <w:rPr>
                <w:b/>
                <w:bCs/>
                <w:color w:val="000000"/>
                <w:szCs w:val="22"/>
                <w:lang w:eastAsia="ja-JP"/>
              </w:rPr>
              <w:t>5.347A</w:t>
            </w:r>
            <w:r w:rsidRPr="0097541B">
              <w:rPr>
                <w:bCs/>
                <w:color w:val="000000"/>
                <w:szCs w:val="22"/>
                <w:lang w:eastAsia="ja-JP"/>
              </w:rPr>
              <w:t xml:space="preserve"> and </w:t>
            </w:r>
            <w:r w:rsidRPr="0097541B">
              <w:rPr>
                <w:b/>
                <w:bCs/>
                <w:color w:val="000000"/>
                <w:szCs w:val="22"/>
              </w:rPr>
              <w:t>5.</w:t>
            </w:r>
            <w:r w:rsidRPr="0097541B">
              <w:rPr>
                <w:b/>
                <w:bCs/>
                <w:color w:val="000000"/>
                <w:szCs w:val="22"/>
                <w:lang w:eastAsia="ja-JP"/>
              </w:rPr>
              <w:t>208B</w:t>
            </w:r>
            <w:r w:rsidRPr="0097541B">
              <w:rPr>
                <w:bCs/>
                <w:color w:val="000000"/>
                <w:szCs w:val="22"/>
              </w:rPr>
              <w:t>.</w:t>
            </w:r>
          </w:p>
        </w:tc>
        <w:tc>
          <w:tcPr>
            <w:tcW w:w="1088" w:type="dxa"/>
            <w:shd w:val="clear" w:color="auto" w:fill="auto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741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Protection of RA in the bands 4 990-5 000 MHz</w:t>
            </w:r>
          </w:p>
        </w:tc>
        <w:tc>
          <w:tcPr>
            <w:tcW w:w="7223" w:type="dxa"/>
          </w:tcPr>
          <w:p w:rsidR="00DD3B31" w:rsidRPr="0097541B" w:rsidRDefault="00DD3B31" w:rsidP="0017209B">
            <w:pPr>
              <w:pStyle w:val="Tabletext"/>
              <w:rPr>
                <w:bCs/>
                <w:szCs w:val="22"/>
                <w:lang w:eastAsia="ja-JP"/>
              </w:rPr>
            </w:pPr>
            <w:r w:rsidRPr="0097541B">
              <w:rPr>
                <w:bCs/>
                <w:szCs w:val="22"/>
                <w:lang w:eastAsia="ja-JP"/>
              </w:rPr>
              <w:t xml:space="preserve">Still relevant. </w:t>
            </w:r>
            <w:r w:rsidRPr="0097541B">
              <w:rPr>
                <w:bCs/>
                <w:szCs w:val="22"/>
              </w:rPr>
              <w:t>This Resolution is referred to in No. </w:t>
            </w:r>
            <w:r w:rsidRPr="0097541B">
              <w:rPr>
                <w:b/>
                <w:bCs/>
                <w:szCs w:val="22"/>
              </w:rPr>
              <w:t>5.443B</w:t>
            </w:r>
            <w:r w:rsidRPr="0097541B">
              <w:rPr>
                <w:bCs/>
                <w:szCs w:val="22"/>
                <w:lang w:eastAsia="ja-JP"/>
              </w:rPr>
              <w:t xml:space="preserve">. </w:t>
            </w:r>
          </w:p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  <w:lang w:eastAsia="ja-JP"/>
              </w:rPr>
              <w:t>As suggested in the CPM Report</w:t>
            </w:r>
            <w:r>
              <w:rPr>
                <w:rFonts w:hint="eastAsia"/>
                <w:bCs/>
                <w:szCs w:val="22"/>
                <w:lang w:eastAsia="ja-JP"/>
              </w:rPr>
              <w:t xml:space="preserve"> toWRC-12</w:t>
            </w:r>
            <w:r w:rsidRPr="0097541B">
              <w:rPr>
                <w:bCs/>
                <w:szCs w:val="22"/>
                <w:lang w:eastAsia="ja-JP"/>
              </w:rPr>
              <w:t>, editorial modification may be required to the version number of the referenced ITU-R Recommendation.</w:t>
            </w:r>
          </w:p>
        </w:tc>
        <w:tc>
          <w:tcPr>
            <w:tcW w:w="1088" w:type="dxa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lastRenderedPageBreak/>
              <w:t>743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Protection of single-dish RA stations in the band 42.5-43.5 GHz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  <w:lang w:eastAsia="ja-JP"/>
              </w:rPr>
              <w:t xml:space="preserve">Still relevant. </w:t>
            </w:r>
            <w:r w:rsidRPr="0097541B">
              <w:rPr>
                <w:bCs/>
                <w:szCs w:val="22"/>
              </w:rPr>
              <w:t>This Resolution is referred to in Nos. </w:t>
            </w:r>
            <w:r w:rsidRPr="0097541B">
              <w:rPr>
                <w:b/>
                <w:bCs/>
                <w:szCs w:val="22"/>
              </w:rPr>
              <w:t>5.551H</w:t>
            </w:r>
            <w:r w:rsidRPr="0097541B">
              <w:rPr>
                <w:bCs/>
                <w:szCs w:val="22"/>
              </w:rPr>
              <w:t xml:space="preserve"> and </w:t>
            </w:r>
            <w:r w:rsidRPr="0097541B">
              <w:rPr>
                <w:b/>
                <w:bCs/>
                <w:szCs w:val="22"/>
              </w:rPr>
              <w:t>5.551I</w:t>
            </w:r>
            <w:r w:rsidRPr="0097541B">
              <w:rPr>
                <w:bCs/>
                <w:szCs w:val="22"/>
                <w:lang w:eastAsia="ja-JP"/>
              </w:rPr>
              <w:t>. The ITU-R studies invited in this Resolution have made little progress.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</w:rPr>
            </w:pPr>
            <w:r w:rsidRPr="0097541B">
              <w:rPr>
                <w:szCs w:val="22"/>
              </w:rPr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2C2BBD" w:rsidRDefault="00DD3B31" w:rsidP="0017209B">
            <w:pPr>
              <w:pStyle w:val="Tabletext"/>
              <w:jc w:val="center"/>
            </w:pPr>
            <w:r w:rsidRPr="002C2BBD">
              <w:t>744</w:t>
            </w:r>
          </w:p>
        </w:tc>
        <w:tc>
          <w:tcPr>
            <w:tcW w:w="4395" w:type="dxa"/>
            <w:shd w:val="clear" w:color="auto" w:fill="auto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Sharing between MSS (Earth-to-space) and oth</w:t>
            </w:r>
            <w:r>
              <w:rPr>
                <w:szCs w:val="22"/>
              </w:rPr>
              <w:t>er services in the bands 1 668-</w:t>
            </w:r>
            <w:r w:rsidRPr="0097541B">
              <w:rPr>
                <w:szCs w:val="22"/>
              </w:rPr>
              <w:t>1 668.4 MHz and 1 668.4-1 675 MHz</w:t>
            </w:r>
          </w:p>
        </w:tc>
        <w:tc>
          <w:tcPr>
            <w:tcW w:w="7223" w:type="dxa"/>
            <w:shd w:val="clear" w:color="auto" w:fill="auto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  <w:lang w:eastAsia="ja-JP"/>
              </w:rPr>
              <w:t xml:space="preserve">Still relevant. </w:t>
            </w:r>
            <w:r w:rsidRPr="0097541B">
              <w:rPr>
                <w:bCs/>
                <w:szCs w:val="22"/>
              </w:rPr>
              <w:t>This Resolution is referred to in No. </w:t>
            </w:r>
            <w:r w:rsidRPr="0097541B">
              <w:rPr>
                <w:b/>
                <w:bCs/>
                <w:szCs w:val="22"/>
              </w:rPr>
              <w:t>5.379D</w:t>
            </w:r>
            <w:r w:rsidRPr="0097541B">
              <w:rPr>
                <w:bCs/>
                <w:szCs w:val="22"/>
              </w:rPr>
              <w:t>.</w:t>
            </w:r>
          </w:p>
        </w:tc>
        <w:tc>
          <w:tcPr>
            <w:tcW w:w="1088" w:type="dxa"/>
            <w:shd w:val="clear" w:color="auto" w:fill="auto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D3B31" w:rsidRPr="003B5EDC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748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D3B31" w:rsidRPr="0097541B" w:rsidRDefault="00DD3B31" w:rsidP="0017209B">
            <w:pPr>
              <w:rPr>
                <w:sz w:val="22"/>
                <w:szCs w:val="22"/>
              </w:rPr>
            </w:pPr>
            <w:r w:rsidRPr="0097541B">
              <w:rPr>
                <w:sz w:val="22"/>
                <w:szCs w:val="22"/>
              </w:rPr>
              <w:t>Compatibility between the aeronautical mobile (R) service and the fixed-satellite service (Earth-to-space) in the band 5 091-5 150 MHz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D3B31" w:rsidRPr="0097541B" w:rsidRDefault="00DD3B31" w:rsidP="0017209B">
            <w:pPr>
              <w:pStyle w:val="Tabletext"/>
              <w:rPr>
                <w:bCs/>
                <w:szCs w:val="22"/>
                <w:lang w:eastAsia="ja-JP"/>
              </w:rPr>
            </w:pPr>
            <w:r w:rsidRPr="0097541B">
              <w:rPr>
                <w:bCs/>
                <w:szCs w:val="22"/>
                <w:lang w:eastAsia="ja-JP"/>
              </w:rPr>
              <w:t xml:space="preserve">Still relevant. </w:t>
            </w:r>
            <w:r w:rsidRPr="0097541B">
              <w:rPr>
                <w:bCs/>
                <w:szCs w:val="22"/>
              </w:rPr>
              <w:t>This Resolution is referred to in No. </w:t>
            </w:r>
            <w:r w:rsidRPr="0097541B">
              <w:rPr>
                <w:b/>
                <w:bCs/>
                <w:szCs w:val="22"/>
              </w:rPr>
              <w:t>5.</w:t>
            </w:r>
            <w:r w:rsidRPr="0097541B">
              <w:rPr>
                <w:b/>
                <w:bCs/>
                <w:szCs w:val="22"/>
                <w:lang w:eastAsia="ja-JP"/>
              </w:rPr>
              <w:t>444B</w:t>
            </w:r>
            <w:r w:rsidRPr="0097541B">
              <w:rPr>
                <w:bCs/>
                <w:szCs w:val="22"/>
              </w:rPr>
              <w:t>.</w:t>
            </w:r>
          </w:p>
          <w:p w:rsidR="00DD3B31" w:rsidRPr="0097541B" w:rsidRDefault="00DD3B31" w:rsidP="0017209B">
            <w:pPr>
              <w:pStyle w:val="Tabletext"/>
              <w:rPr>
                <w:b/>
                <w:bCs/>
                <w:szCs w:val="22"/>
                <w:lang w:eastAsia="ja-JP"/>
              </w:rPr>
            </w:pPr>
            <w:r w:rsidRPr="0097541B">
              <w:rPr>
                <w:bCs/>
                <w:szCs w:val="22"/>
                <w:lang w:eastAsia="ja-JP"/>
              </w:rPr>
              <w:t>As suggested in the CPM Report</w:t>
            </w:r>
            <w:r>
              <w:rPr>
                <w:rFonts w:hint="eastAsia"/>
                <w:bCs/>
                <w:szCs w:val="22"/>
                <w:lang w:eastAsia="ja-JP"/>
              </w:rPr>
              <w:t xml:space="preserve"> to WRC-12</w:t>
            </w:r>
            <w:r w:rsidRPr="0097541B">
              <w:rPr>
                <w:bCs/>
                <w:szCs w:val="22"/>
                <w:lang w:eastAsia="ja-JP"/>
              </w:rPr>
              <w:t>, editorial modification may be required to the version number of the referenced ITU-R Recommendation.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C257B1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C257B1">
              <w:rPr>
                <w:rFonts w:hint="eastAsia"/>
                <w:color w:val="000000"/>
                <w:lang w:eastAsia="ja-JP"/>
              </w:rPr>
              <w:t>749</w:t>
            </w:r>
          </w:p>
        </w:tc>
        <w:tc>
          <w:tcPr>
            <w:tcW w:w="4395" w:type="dxa"/>
            <w:shd w:val="clear" w:color="auto" w:fill="auto"/>
          </w:tcPr>
          <w:p w:rsidR="00DD3B31" w:rsidRPr="0097541B" w:rsidRDefault="00DD3B31" w:rsidP="0017209B">
            <w:pPr>
              <w:rPr>
                <w:sz w:val="22"/>
                <w:szCs w:val="22"/>
                <w:lang w:val="en-GB"/>
              </w:rPr>
            </w:pPr>
            <w:r>
              <w:rPr>
                <w:rFonts w:eastAsia="Times New Roman" w:hint="eastAsia"/>
                <w:sz w:val="22"/>
                <w:szCs w:val="22"/>
                <w:lang w:eastAsia="ja-JP"/>
              </w:rPr>
              <w:t>U</w:t>
            </w:r>
            <w:r w:rsidRPr="0097541B">
              <w:rPr>
                <w:sz w:val="22"/>
                <w:szCs w:val="22"/>
              </w:rPr>
              <w:t xml:space="preserve">se of the band 790-862 MHz </w:t>
            </w:r>
            <w:r>
              <w:rPr>
                <w:rFonts w:eastAsia="Times New Roman" w:hint="eastAsia"/>
                <w:sz w:val="22"/>
                <w:szCs w:val="22"/>
                <w:lang w:eastAsia="ja-JP"/>
              </w:rPr>
              <w:t xml:space="preserve">in countries in Region 1 and Islamic Republic of Iran </w:t>
            </w:r>
            <w:r w:rsidRPr="0097541B">
              <w:rPr>
                <w:sz w:val="22"/>
                <w:szCs w:val="22"/>
              </w:rPr>
              <w:t>by mobile applications and by other services</w:t>
            </w:r>
          </w:p>
        </w:tc>
        <w:tc>
          <w:tcPr>
            <w:tcW w:w="7223" w:type="dxa"/>
            <w:shd w:val="clear" w:color="auto" w:fill="auto"/>
          </w:tcPr>
          <w:p w:rsidR="00DD3B31" w:rsidRPr="0097541B" w:rsidRDefault="00DD3B31" w:rsidP="0017209B">
            <w:pPr>
              <w:pStyle w:val="Tabletext"/>
              <w:rPr>
                <w:b/>
                <w:bCs/>
                <w:szCs w:val="22"/>
              </w:rPr>
            </w:pPr>
            <w:r w:rsidRPr="0097541B">
              <w:rPr>
                <w:bCs/>
                <w:szCs w:val="22"/>
                <w:lang w:eastAsia="ja-JP"/>
              </w:rPr>
              <w:t>Modifications</w:t>
            </w:r>
            <w:r w:rsidRPr="0097541B">
              <w:rPr>
                <w:bCs/>
                <w:szCs w:val="22"/>
                <w:lang w:eastAsia="ko-KR"/>
              </w:rPr>
              <w:t xml:space="preserve"> are </w:t>
            </w:r>
            <w:r w:rsidRPr="0097541B">
              <w:rPr>
                <w:bCs/>
                <w:szCs w:val="22"/>
                <w:lang w:eastAsia="ja-JP"/>
              </w:rPr>
              <w:t xml:space="preserve">proposed, </w:t>
            </w:r>
            <w:r w:rsidRPr="0097541B">
              <w:rPr>
                <w:bCs/>
                <w:szCs w:val="22"/>
                <w:lang w:eastAsia="ko-KR"/>
              </w:rPr>
              <w:t>intend</w:t>
            </w:r>
            <w:r w:rsidRPr="0097541B">
              <w:rPr>
                <w:bCs/>
                <w:szCs w:val="22"/>
                <w:lang w:eastAsia="ja-JP"/>
              </w:rPr>
              <w:t>ing</w:t>
            </w:r>
            <w:r w:rsidRPr="0097541B">
              <w:rPr>
                <w:bCs/>
                <w:szCs w:val="22"/>
                <w:lang w:eastAsia="ko-KR"/>
              </w:rPr>
              <w:t xml:space="preserve"> to cover the particular requirements of an APT Member country who is a contracting member to the GE06 Agreement</w:t>
            </w:r>
            <w:r w:rsidRPr="0097541B">
              <w:rPr>
                <w:bCs/>
                <w:szCs w:val="22"/>
                <w:lang w:eastAsia="ja-JP"/>
              </w:rPr>
              <w:t xml:space="preserve"> (see </w:t>
            </w:r>
            <w:r w:rsidRPr="0097541B">
              <w:rPr>
                <w:bCs/>
                <w:szCs w:val="22"/>
              </w:rPr>
              <w:t>ASP/</w:t>
            </w:r>
            <w:r w:rsidRPr="0097541B">
              <w:rPr>
                <w:bCs/>
                <w:szCs w:val="22"/>
                <w:lang w:eastAsia="ja-JP"/>
              </w:rPr>
              <w:t>26A17</w:t>
            </w:r>
            <w:r w:rsidRPr="0097541B">
              <w:rPr>
                <w:bCs/>
                <w:szCs w:val="22"/>
              </w:rPr>
              <w:t>/3 under WRC-</w:t>
            </w:r>
            <w:r w:rsidRPr="0097541B">
              <w:rPr>
                <w:bCs/>
                <w:szCs w:val="22"/>
                <w:lang w:eastAsia="ja-JP"/>
              </w:rPr>
              <w:t>12</w:t>
            </w:r>
            <w:r w:rsidRPr="0097541B">
              <w:rPr>
                <w:bCs/>
                <w:szCs w:val="22"/>
              </w:rPr>
              <w:t xml:space="preserve"> Agenda item 1.</w:t>
            </w:r>
            <w:r w:rsidRPr="0097541B">
              <w:rPr>
                <w:bCs/>
                <w:szCs w:val="22"/>
                <w:lang w:eastAsia="ja-JP"/>
              </w:rPr>
              <w:t>17)</w:t>
            </w:r>
            <w:r w:rsidRPr="0097541B">
              <w:rPr>
                <w:bCs/>
                <w:szCs w:val="22"/>
                <w:lang w:eastAsia="ko-KR"/>
              </w:rPr>
              <w:t>.</w:t>
            </w:r>
          </w:p>
        </w:tc>
        <w:tc>
          <w:tcPr>
            <w:tcW w:w="1088" w:type="dxa"/>
            <w:shd w:val="clear" w:color="auto" w:fill="auto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shd w:val="clear" w:color="auto" w:fill="auto"/>
          </w:tcPr>
          <w:p w:rsidR="00DD3B31" w:rsidRPr="00C257B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3B5EDC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750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Compatibility between the Earth exploration-satellite service (passive) and relevant active services</w:t>
            </w:r>
          </w:p>
        </w:tc>
        <w:tc>
          <w:tcPr>
            <w:tcW w:w="7223" w:type="dxa"/>
          </w:tcPr>
          <w:p w:rsidR="00DD3B31" w:rsidRPr="0097541B" w:rsidRDefault="00DD3B31" w:rsidP="0017209B">
            <w:pPr>
              <w:pStyle w:val="Tabletext"/>
              <w:rPr>
                <w:b/>
                <w:bCs/>
                <w:szCs w:val="22"/>
              </w:rPr>
            </w:pPr>
            <w:r w:rsidRPr="0097541B">
              <w:rPr>
                <w:bCs/>
                <w:szCs w:val="22"/>
                <w:lang w:eastAsia="ja-JP"/>
              </w:rPr>
              <w:t>Still relevant.</w:t>
            </w:r>
            <w:r w:rsidRPr="0097541B">
              <w:rPr>
                <w:bCs/>
                <w:szCs w:val="22"/>
              </w:rPr>
              <w:t xml:space="preserve"> This Resolution is referred to in No. </w:t>
            </w:r>
            <w:r w:rsidRPr="0097541B">
              <w:rPr>
                <w:b/>
                <w:bCs/>
                <w:szCs w:val="22"/>
              </w:rPr>
              <w:t>5.</w:t>
            </w:r>
            <w:r w:rsidRPr="0097541B">
              <w:rPr>
                <w:b/>
                <w:bCs/>
                <w:szCs w:val="22"/>
                <w:lang w:eastAsia="ja-JP"/>
              </w:rPr>
              <w:t>338A</w:t>
            </w:r>
            <w:r w:rsidRPr="0097541B">
              <w:rPr>
                <w:bCs/>
                <w:szCs w:val="22"/>
              </w:rPr>
              <w:t>.</w:t>
            </w:r>
          </w:p>
        </w:tc>
        <w:tc>
          <w:tcPr>
            <w:tcW w:w="1088" w:type="dxa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3B5EDC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751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rPr>
                <w:sz w:val="22"/>
                <w:szCs w:val="22"/>
              </w:rPr>
            </w:pPr>
            <w:r w:rsidRPr="0097541B">
              <w:rPr>
                <w:sz w:val="22"/>
                <w:szCs w:val="22"/>
              </w:rPr>
              <w:t>Use of the frequency band 10.6-10.68 GHz</w:t>
            </w:r>
          </w:p>
        </w:tc>
        <w:tc>
          <w:tcPr>
            <w:tcW w:w="7223" w:type="dxa"/>
          </w:tcPr>
          <w:p w:rsidR="00DD3B31" w:rsidRPr="0097541B" w:rsidRDefault="00DD3B31" w:rsidP="0017209B">
            <w:pPr>
              <w:pStyle w:val="Tabletext"/>
              <w:rPr>
                <w:b/>
                <w:bCs/>
                <w:szCs w:val="22"/>
              </w:rPr>
            </w:pPr>
            <w:r w:rsidRPr="0097541B">
              <w:rPr>
                <w:bCs/>
                <w:szCs w:val="22"/>
                <w:lang w:eastAsia="ja-JP"/>
              </w:rPr>
              <w:t>Still relevant.</w:t>
            </w:r>
            <w:r w:rsidRPr="0097541B">
              <w:rPr>
                <w:bCs/>
                <w:szCs w:val="22"/>
              </w:rPr>
              <w:t xml:space="preserve"> This Resolution is referred to in No. </w:t>
            </w:r>
            <w:r w:rsidRPr="0097541B">
              <w:rPr>
                <w:b/>
                <w:bCs/>
                <w:szCs w:val="22"/>
              </w:rPr>
              <w:t>5.</w:t>
            </w:r>
            <w:r w:rsidRPr="0097541B">
              <w:rPr>
                <w:b/>
                <w:bCs/>
                <w:szCs w:val="22"/>
                <w:lang w:eastAsia="ja-JP"/>
              </w:rPr>
              <w:t>482A</w:t>
            </w:r>
            <w:r w:rsidRPr="0097541B">
              <w:rPr>
                <w:bCs/>
                <w:szCs w:val="22"/>
              </w:rPr>
              <w:t>.</w:t>
            </w:r>
          </w:p>
        </w:tc>
        <w:tc>
          <w:tcPr>
            <w:tcW w:w="1088" w:type="dxa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D3B31" w:rsidRPr="003B5EDC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752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Use of the frequency band 36-37 GHz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D3B31" w:rsidRPr="0097541B" w:rsidRDefault="00DD3B31" w:rsidP="0017209B">
            <w:pPr>
              <w:pStyle w:val="Tabletext"/>
              <w:rPr>
                <w:b/>
                <w:bCs/>
                <w:szCs w:val="22"/>
              </w:rPr>
            </w:pPr>
            <w:r w:rsidRPr="0097541B">
              <w:rPr>
                <w:bCs/>
                <w:szCs w:val="22"/>
                <w:lang w:eastAsia="ja-JP"/>
              </w:rPr>
              <w:t>Still relevant.</w:t>
            </w:r>
            <w:r w:rsidRPr="0097541B">
              <w:rPr>
                <w:bCs/>
                <w:szCs w:val="22"/>
              </w:rPr>
              <w:t xml:space="preserve"> This Resolution is referred to in No. </w:t>
            </w:r>
            <w:r w:rsidRPr="0097541B">
              <w:rPr>
                <w:b/>
                <w:bCs/>
                <w:szCs w:val="22"/>
              </w:rPr>
              <w:t>5.</w:t>
            </w:r>
            <w:r w:rsidRPr="0097541B">
              <w:rPr>
                <w:b/>
                <w:bCs/>
                <w:szCs w:val="22"/>
                <w:lang w:eastAsia="ja-JP"/>
              </w:rPr>
              <w:t>550A</w:t>
            </w:r>
            <w:r w:rsidRPr="0097541B">
              <w:rPr>
                <w:bCs/>
                <w:szCs w:val="22"/>
              </w:rPr>
              <w:t>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755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D3B31" w:rsidRPr="00752BA2" w:rsidRDefault="00DD3B31" w:rsidP="0017209B">
            <w:pPr>
              <w:rPr>
                <w:sz w:val="22"/>
                <w:szCs w:val="22"/>
              </w:rPr>
            </w:pPr>
            <w:r w:rsidRPr="00752BA2">
              <w:rPr>
                <w:sz w:val="22"/>
                <w:szCs w:val="22"/>
              </w:rPr>
              <w:t>Power flux-density limits for transmitting stations in the 21.4-22 GHz band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:rsidR="00DD3B31" w:rsidRPr="00752BA2" w:rsidRDefault="00DD3B31" w:rsidP="0017209B">
            <w:pPr>
              <w:pStyle w:val="Tabletext"/>
              <w:jc w:val="center"/>
              <w:rPr>
                <w:szCs w:val="22"/>
              </w:rPr>
            </w:pPr>
            <w:r w:rsidRPr="00752BA2">
              <w:t>–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D3B31" w:rsidRPr="00752BA2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752BA2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C0C0C0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756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C0C0C0"/>
          </w:tcPr>
          <w:p w:rsidR="00DD3B31" w:rsidRPr="00752BA2" w:rsidRDefault="00DD3B31" w:rsidP="0017209B">
            <w:pPr>
              <w:rPr>
                <w:sz w:val="22"/>
                <w:szCs w:val="22"/>
              </w:rPr>
            </w:pPr>
            <w:r w:rsidRPr="00752BA2">
              <w:rPr>
                <w:sz w:val="22"/>
                <w:szCs w:val="22"/>
              </w:rPr>
              <w:t>Studies on possible reduction of the coordination arc and technical criteria used in application of No. 9.41 in respect of coordination under No. 9.7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C0C0C0"/>
          </w:tcPr>
          <w:p w:rsidR="00DD3B31" w:rsidRPr="00752BA2" w:rsidRDefault="00DD3B31" w:rsidP="0017209B">
            <w:pPr>
              <w:pStyle w:val="Tabletext"/>
              <w:rPr>
                <w:szCs w:val="22"/>
                <w:lang w:eastAsia="ja-JP"/>
              </w:rPr>
            </w:pPr>
            <w:r w:rsidRPr="00752BA2">
              <w:rPr>
                <w:szCs w:val="22"/>
              </w:rPr>
              <w:t xml:space="preserve"> 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</w:t>
            </w:r>
            <w:r>
              <w:rPr>
                <w:rFonts w:hint="eastAsia"/>
                <w:b/>
                <w:szCs w:val="22"/>
                <w:lang w:eastAsia="ja-JP"/>
              </w:rPr>
              <w:t>9</w:t>
            </w:r>
            <w:r w:rsidRPr="00752BA2">
              <w:rPr>
                <w:b/>
                <w:szCs w:val="22"/>
              </w:rPr>
              <w:t>.</w:t>
            </w:r>
            <w:r>
              <w:rPr>
                <w:rFonts w:hint="eastAsia"/>
                <w:b/>
                <w:szCs w:val="22"/>
                <w:lang w:eastAsia="ja-JP"/>
              </w:rPr>
              <w:t>1.2</w:t>
            </w:r>
            <w:r w:rsidRPr="00752BA2">
              <w:rPr>
                <w:b/>
                <w:szCs w:val="22"/>
                <w:lang w:eastAsia="ja-JP"/>
              </w:rPr>
              <w:t>)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C0C0C0"/>
          </w:tcPr>
          <w:p w:rsidR="00DD3B31" w:rsidRPr="00752BA2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752BA2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C0C0C0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C0C0C0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757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C0C0C0"/>
          </w:tcPr>
          <w:p w:rsidR="00DD3B31" w:rsidRPr="00752BA2" w:rsidRDefault="00DD3B31" w:rsidP="0017209B">
            <w:pPr>
              <w:rPr>
                <w:sz w:val="22"/>
                <w:szCs w:val="22"/>
              </w:rPr>
            </w:pPr>
            <w:r w:rsidRPr="00752BA2">
              <w:rPr>
                <w:sz w:val="22"/>
                <w:szCs w:val="22"/>
              </w:rPr>
              <w:t xml:space="preserve">Regulatory aspects for </w:t>
            </w:r>
            <w:proofErr w:type="spellStart"/>
            <w:r w:rsidRPr="00752BA2">
              <w:rPr>
                <w:sz w:val="22"/>
                <w:szCs w:val="22"/>
              </w:rPr>
              <w:t>nano</w:t>
            </w:r>
            <w:proofErr w:type="spellEnd"/>
            <w:r w:rsidRPr="00752BA2">
              <w:rPr>
                <w:sz w:val="22"/>
                <w:szCs w:val="22"/>
              </w:rPr>
              <w:t xml:space="preserve">- and </w:t>
            </w:r>
            <w:proofErr w:type="spellStart"/>
            <w:r w:rsidRPr="00752BA2">
              <w:rPr>
                <w:sz w:val="22"/>
                <w:szCs w:val="22"/>
              </w:rPr>
              <w:t>picosatellites</w:t>
            </w:r>
            <w:proofErr w:type="spellEnd"/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C0C0C0"/>
          </w:tcPr>
          <w:p w:rsidR="00DD3B31" w:rsidRDefault="00DD3B31" w:rsidP="0017209B">
            <w:pPr>
              <w:pStyle w:val="Tabletext"/>
              <w:rPr>
                <w:b/>
                <w:szCs w:val="22"/>
                <w:lang w:eastAsia="ja-JP"/>
              </w:rPr>
            </w:pPr>
            <w:r w:rsidRPr="00752BA2">
              <w:rPr>
                <w:szCs w:val="22"/>
              </w:rPr>
              <w:t>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</w:t>
            </w:r>
            <w:r>
              <w:rPr>
                <w:rFonts w:hint="eastAsia"/>
                <w:b/>
                <w:szCs w:val="22"/>
                <w:lang w:eastAsia="ja-JP"/>
              </w:rPr>
              <w:t>9</w:t>
            </w:r>
            <w:r w:rsidRPr="00752BA2">
              <w:rPr>
                <w:b/>
                <w:szCs w:val="22"/>
              </w:rPr>
              <w:t>.</w:t>
            </w:r>
            <w:r>
              <w:rPr>
                <w:rFonts w:hint="eastAsia"/>
                <w:b/>
                <w:szCs w:val="22"/>
                <w:lang w:eastAsia="ja-JP"/>
              </w:rPr>
              <w:t>1.8</w:t>
            </w:r>
            <w:r w:rsidRPr="00752BA2">
              <w:rPr>
                <w:b/>
                <w:szCs w:val="22"/>
                <w:lang w:eastAsia="ja-JP"/>
              </w:rPr>
              <w:t>)</w:t>
            </w:r>
          </w:p>
          <w:p w:rsidR="00DD3B31" w:rsidRPr="00752BA2" w:rsidRDefault="00DD3B31" w:rsidP="0017209B">
            <w:pPr>
              <w:pStyle w:val="Tabletext"/>
              <w:rPr>
                <w:szCs w:val="22"/>
                <w:lang w:eastAsia="ja-JP"/>
              </w:rPr>
            </w:pPr>
            <w:r>
              <w:rPr>
                <w:rFonts w:hint="eastAsia"/>
                <w:lang w:eastAsia="ja-JP"/>
              </w:rPr>
              <w:t>This Resolution is referred to in preliminary agenda item 2.2 for WRC-18 in Resolution 808, and may also be considered under WRC-15 Agenda item 10.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C0C0C0"/>
          </w:tcPr>
          <w:p w:rsidR="00DD3B31" w:rsidRPr="00752BA2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752BA2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C0C0C0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758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rPr>
                <w:sz w:val="22"/>
                <w:szCs w:val="22"/>
              </w:rPr>
            </w:pPr>
            <w:r w:rsidRPr="00752BA2">
              <w:rPr>
                <w:sz w:val="22"/>
                <w:szCs w:val="22"/>
              </w:rPr>
              <w:t>Allocation to the fixed-satellite service and the maritime-mobile satellite service in the 7/8 GHz range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pStyle w:val="Tabletext"/>
              <w:rPr>
                <w:szCs w:val="22"/>
              </w:rPr>
            </w:pPr>
            <w:r w:rsidRPr="00752BA2">
              <w:rPr>
                <w:szCs w:val="22"/>
              </w:rPr>
              <w:t>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1.</w:t>
            </w:r>
            <w:r w:rsidRPr="00752BA2">
              <w:rPr>
                <w:b/>
                <w:szCs w:val="22"/>
                <w:lang w:eastAsia="ja-JP"/>
              </w:rPr>
              <w:t>9)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752BA2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BFBFBF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D3B31" w:rsidRPr="003B5EDC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lastRenderedPageBreak/>
              <w:t>804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D3B31" w:rsidRPr="0097541B" w:rsidRDefault="00DD3B31" w:rsidP="0017209B">
            <w:pPr>
              <w:rPr>
                <w:sz w:val="22"/>
                <w:szCs w:val="22"/>
              </w:rPr>
            </w:pPr>
            <w:r w:rsidRPr="0097541B">
              <w:rPr>
                <w:sz w:val="22"/>
                <w:szCs w:val="22"/>
              </w:rPr>
              <w:t>Principles for establishing agendas for world radiocommunication conferences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D3B31" w:rsidRPr="0097541B" w:rsidRDefault="00DD3B31" w:rsidP="0017209B">
            <w:pPr>
              <w:pStyle w:val="Tabletext"/>
              <w:rPr>
                <w:szCs w:val="22"/>
                <w:lang w:eastAsia="ja-JP"/>
              </w:rPr>
            </w:pPr>
            <w:r w:rsidRPr="0097541B">
              <w:rPr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2C5897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2C5897">
              <w:rPr>
                <w:rFonts w:hint="eastAsia"/>
                <w:lang w:eastAsia="ja-JP"/>
              </w:rPr>
              <w:t>806</w:t>
            </w:r>
          </w:p>
        </w:tc>
        <w:tc>
          <w:tcPr>
            <w:tcW w:w="4395" w:type="dxa"/>
            <w:shd w:val="clear" w:color="auto" w:fill="auto"/>
          </w:tcPr>
          <w:p w:rsidR="00DD3B31" w:rsidRPr="002C5897" w:rsidRDefault="00DD3B31" w:rsidP="0017209B">
            <w:pPr>
              <w:rPr>
                <w:sz w:val="22"/>
                <w:szCs w:val="22"/>
              </w:rPr>
            </w:pPr>
            <w:r w:rsidRPr="002C5897">
              <w:rPr>
                <w:sz w:val="22"/>
                <w:szCs w:val="22"/>
              </w:rPr>
              <w:t>Preliminary agenda for the 2015 World</w:t>
            </w:r>
            <w:r w:rsidRPr="002C5897">
              <w:rPr>
                <w:sz w:val="22"/>
                <w:szCs w:val="22"/>
              </w:rPr>
              <w:br/>
              <w:t>Radiocommunication Conference</w:t>
            </w:r>
          </w:p>
        </w:tc>
        <w:tc>
          <w:tcPr>
            <w:tcW w:w="7223" w:type="dxa"/>
            <w:shd w:val="clear" w:color="auto" w:fill="auto"/>
          </w:tcPr>
          <w:p w:rsidR="00DD3B31" w:rsidRDefault="00DD3B31" w:rsidP="0017209B">
            <w:pPr>
              <w:pStyle w:val="Tabletext"/>
              <w:rPr>
                <w:bCs/>
                <w:lang w:eastAsia="ja-JP"/>
              </w:rPr>
            </w:pPr>
            <w:r w:rsidRPr="002C5897">
              <w:rPr>
                <w:bCs/>
                <w:lang w:eastAsia="ja-JP"/>
              </w:rPr>
              <w:t xml:space="preserve">To be suppressed at WRC-12 (see </w:t>
            </w:r>
            <w:r w:rsidRPr="002C5897">
              <w:rPr>
                <w:bCs/>
              </w:rPr>
              <w:t>ASP/</w:t>
            </w:r>
            <w:r w:rsidRPr="002C5897">
              <w:rPr>
                <w:bCs/>
                <w:lang w:eastAsia="ja-JP"/>
              </w:rPr>
              <w:t>26A30</w:t>
            </w:r>
            <w:r w:rsidRPr="002C5897">
              <w:rPr>
                <w:bCs/>
              </w:rPr>
              <w:t>/2 under WRC-</w:t>
            </w:r>
            <w:r w:rsidRPr="002C5897">
              <w:rPr>
                <w:bCs/>
                <w:lang w:eastAsia="ja-JP"/>
              </w:rPr>
              <w:t>12</w:t>
            </w:r>
            <w:r w:rsidRPr="002C5897">
              <w:rPr>
                <w:bCs/>
              </w:rPr>
              <w:t xml:space="preserve"> Agenda item </w:t>
            </w:r>
            <w:r w:rsidRPr="002C5897">
              <w:rPr>
                <w:bCs/>
                <w:lang w:eastAsia="ja-JP"/>
              </w:rPr>
              <w:t>8</w:t>
            </w:r>
            <w:r w:rsidRPr="002C5897">
              <w:rPr>
                <w:bCs/>
              </w:rPr>
              <w:t>.</w:t>
            </w:r>
            <w:r w:rsidRPr="002C5897">
              <w:rPr>
                <w:bCs/>
                <w:lang w:eastAsia="ja-JP"/>
              </w:rPr>
              <w:t>2).</w:t>
            </w:r>
          </w:p>
          <w:p w:rsidR="00DD3B31" w:rsidRPr="00217848" w:rsidRDefault="00DD3B31" w:rsidP="0017209B">
            <w:pPr>
              <w:pStyle w:val="Tabletext"/>
              <w:keepLines/>
              <w:tabs>
                <w:tab w:val="left" w:pos="255"/>
                <w:tab w:val="left" w:pos="794"/>
                <w:tab w:val="left" w:pos="1191"/>
                <w:tab w:val="left" w:pos="1588"/>
              </w:tabs>
              <w:ind w:left="255" w:hanging="255"/>
              <w:rPr>
                <w:i/>
                <w:szCs w:val="22"/>
              </w:rPr>
            </w:pPr>
            <w:r w:rsidRPr="00217848">
              <w:rPr>
                <w:bCs/>
                <w:i/>
                <w:lang w:eastAsia="ja-JP"/>
              </w:rPr>
              <w:t>This Resolution should have been suppressed at WRC-12, being superseded by Resolution 807.</w:t>
            </w:r>
          </w:p>
        </w:tc>
        <w:tc>
          <w:tcPr>
            <w:tcW w:w="1088" w:type="dxa"/>
            <w:shd w:val="clear" w:color="auto" w:fill="auto"/>
          </w:tcPr>
          <w:p w:rsidR="00DD3B31" w:rsidRPr="002C5897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NOC</w:t>
            </w:r>
          </w:p>
        </w:tc>
        <w:tc>
          <w:tcPr>
            <w:tcW w:w="1088" w:type="dxa"/>
            <w:shd w:val="clear" w:color="auto" w:fill="auto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807</w:t>
            </w:r>
          </w:p>
        </w:tc>
        <w:tc>
          <w:tcPr>
            <w:tcW w:w="4395" w:type="dxa"/>
            <w:shd w:val="clear" w:color="auto" w:fill="auto"/>
          </w:tcPr>
          <w:p w:rsidR="00DD3B31" w:rsidRPr="00752BA2" w:rsidRDefault="00DD3B31" w:rsidP="0017209B">
            <w:pPr>
              <w:pStyle w:val="Tabletext"/>
              <w:rPr>
                <w:szCs w:val="22"/>
                <w:lang w:eastAsia="ja-JP"/>
              </w:rPr>
            </w:pPr>
            <w:r w:rsidRPr="00752BA2">
              <w:rPr>
                <w:szCs w:val="22"/>
                <w:lang w:eastAsia="ja-JP"/>
              </w:rPr>
              <w:t xml:space="preserve">Agenda for the 2015 World </w:t>
            </w:r>
            <w:proofErr w:type="spellStart"/>
            <w:r w:rsidRPr="00752BA2">
              <w:rPr>
                <w:szCs w:val="22"/>
                <w:lang w:eastAsia="ja-JP"/>
              </w:rPr>
              <w:t>Radicocommunication</w:t>
            </w:r>
            <w:proofErr w:type="spellEnd"/>
            <w:r w:rsidRPr="00752BA2">
              <w:rPr>
                <w:szCs w:val="22"/>
                <w:lang w:eastAsia="ja-JP"/>
              </w:rPr>
              <w:t xml:space="preserve"> Conference</w:t>
            </w:r>
          </w:p>
        </w:tc>
        <w:tc>
          <w:tcPr>
            <w:tcW w:w="7223" w:type="dxa"/>
            <w:shd w:val="clear" w:color="auto" w:fill="auto"/>
          </w:tcPr>
          <w:p w:rsidR="00DD3B31" w:rsidRPr="00217848" w:rsidRDefault="00DD3B31" w:rsidP="0017209B">
            <w:pPr>
              <w:pStyle w:val="Tabletext"/>
              <w:rPr>
                <w:i/>
                <w:szCs w:val="22"/>
                <w:lang w:eastAsia="ja-JP"/>
              </w:rPr>
            </w:pPr>
            <w:r w:rsidRPr="00217848">
              <w:rPr>
                <w:i/>
                <w:lang w:eastAsia="ja-JP"/>
              </w:rPr>
              <w:t>To be suppressed at WRC-15.</w:t>
            </w:r>
          </w:p>
        </w:tc>
        <w:tc>
          <w:tcPr>
            <w:tcW w:w="1088" w:type="dxa"/>
            <w:shd w:val="clear" w:color="auto" w:fill="auto"/>
          </w:tcPr>
          <w:p w:rsidR="00DD3B31" w:rsidRPr="00752BA2" w:rsidRDefault="00DD3B31" w:rsidP="0017209B">
            <w:pPr>
              <w:jc w:val="center"/>
              <w:rPr>
                <w:sz w:val="22"/>
                <w:szCs w:val="22"/>
              </w:rPr>
            </w:pPr>
            <w:r w:rsidRPr="00752BA2">
              <w:rPr>
                <w:sz w:val="22"/>
                <w:szCs w:val="22"/>
              </w:rPr>
              <w:t>ADD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C0C0C0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808</w:t>
            </w:r>
          </w:p>
        </w:tc>
        <w:tc>
          <w:tcPr>
            <w:tcW w:w="4395" w:type="dxa"/>
            <w:shd w:val="clear" w:color="auto" w:fill="C0C0C0"/>
          </w:tcPr>
          <w:p w:rsidR="00DD3B31" w:rsidRPr="00752BA2" w:rsidRDefault="00DD3B31" w:rsidP="0017209B">
            <w:pPr>
              <w:pStyle w:val="Tabletext"/>
              <w:rPr>
                <w:szCs w:val="22"/>
                <w:lang w:eastAsia="ja-JP"/>
              </w:rPr>
            </w:pPr>
            <w:r w:rsidRPr="00752BA2">
              <w:rPr>
                <w:szCs w:val="22"/>
                <w:lang w:eastAsia="ja-JP"/>
              </w:rPr>
              <w:t xml:space="preserve">Preliminary agenda for the 2018 World </w:t>
            </w:r>
            <w:proofErr w:type="spellStart"/>
            <w:r w:rsidRPr="00752BA2">
              <w:rPr>
                <w:szCs w:val="22"/>
                <w:lang w:eastAsia="ja-JP"/>
              </w:rPr>
              <w:t>Radicocommunication</w:t>
            </w:r>
            <w:proofErr w:type="spellEnd"/>
            <w:r w:rsidRPr="00752BA2">
              <w:rPr>
                <w:szCs w:val="22"/>
                <w:lang w:eastAsia="ja-JP"/>
              </w:rPr>
              <w:t xml:space="preserve"> Conference</w:t>
            </w:r>
          </w:p>
        </w:tc>
        <w:tc>
          <w:tcPr>
            <w:tcW w:w="7223" w:type="dxa"/>
            <w:shd w:val="clear" w:color="auto" w:fill="C0C0C0"/>
          </w:tcPr>
          <w:p w:rsidR="00DD3B31" w:rsidRPr="00752BA2" w:rsidRDefault="00DD3B31" w:rsidP="0017209B">
            <w:pPr>
              <w:pStyle w:val="Tabletext"/>
              <w:rPr>
                <w:szCs w:val="22"/>
              </w:rPr>
            </w:pPr>
            <w:r w:rsidRPr="00752BA2">
              <w:rPr>
                <w:szCs w:val="22"/>
              </w:rPr>
              <w:t>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</w:t>
            </w:r>
            <w:r>
              <w:rPr>
                <w:rFonts w:hint="eastAsia"/>
                <w:b/>
                <w:szCs w:val="22"/>
                <w:lang w:eastAsia="ja-JP"/>
              </w:rPr>
              <w:t>10</w:t>
            </w:r>
            <w:r w:rsidRPr="00752BA2">
              <w:rPr>
                <w:b/>
                <w:szCs w:val="22"/>
                <w:lang w:eastAsia="ja-JP"/>
              </w:rPr>
              <w:t>)</w:t>
            </w:r>
          </w:p>
        </w:tc>
        <w:tc>
          <w:tcPr>
            <w:tcW w:w="1088" w:type="dxa"/>
            <w:shd w:val="clear" w:color="auto" w:fill="C0C0C0"/>
          </w:tcPr>
          <w:p w:rsidR="00DD3B31" w:rsidRPr="00752BA2" w:rsidRDefault="00DD3B31" w:rsidP="0017209B">
            <w:pPr>
              <w:jc w:val="center"/>
              <w:rPr>
                <w:sz w:val="22"/>
                <w:szCs w:val="22"/>
              </w:rPr>
            </w:pPr>
            <w:r w:rsidRPr="00752BA2">
              <w:rPr>
                <w:sz w:val="22"/>
                <w:szCs w:val="22"/>
              </w:rPr>
              <w:t>ADD</w:t>
            </w:r>
          </w:p>
        </w:tc>
        <w:tc>
          <w:tcPr>
            <w:tcW w:w="1088" w:type="dxa"/>
            <w:shd w:val="clear" w:color="auto" w:fill="C0C0C0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3B5EDC" w:rsidRDefault="00DD3B31" w:rsidP="0017209B">
            <w:pPr>
              <w:pStyle w:val="Tabletext"/>
              <w:jc w:val="center"/>
              <w:rPr>
                <w:color w:val="000000"/>
              </w:rPr>
            </w:pPr>
            <w:r w:rsidRPr="003B5EDC">
              <w:rPr>
                <w:color w:val="000000"/>
              </w:rPr>
              <w:t>900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 xml:space="preserve">Review of the </w:t>
            </w:r>
            <w:proofErr w:type="spellStart"/>
            <w:r w:rsidRPr="0097541B">
              <w:rPr>
                <w:szCs w:val="22"/>
              </w:rPr>
              <w:t>RoP</w:t>
            </w:r>
            <w:proofErr w:type="spellEnd"/>
            <w:r w:rsidRPr="0097541B">
              <w:rPr>
                <w:szCs w:val="22"/>
              </w:rPr>
              <w:t xml:space="preserve"> for No. 9.35</w:t>
            </w:r>
          </w:p>
        </w:tc>
        <w:tc>
          <w:tcPr>
            <w:tcW w:w="7223" w:type="dxa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</w:rPr>
              <w:t>Parts still relevant</w:t>
            </w:r>
            <w:r w:rsidRPr="0097541B">
              <w:rPr>
                <w:bCs/>
                <w:szCs w:val="22"/>
                <w:lang w:eastAsia="ja-JP"/>
              </w:rPr>
              <w:t xml:space="preserve">, in particular </w:t>
            </w:r>
            <w:r w:rsidRPr="0097541B">
              <w:rPr>
                <w:bCs/>
                <w:i/>
                <w:szCs w:val="22"/>
                <w:lang w:eastAsia="ja-JP"/>
              </w:rPr>
              <w:t xml:space="preserve">resolves </w:t>
            </w:r>
            <w:r w:rsidRPr="0097541B">
              <w:rPr>
                <w:bCs/>
                <w:szCs w:val="22"/>
                <w:lang w:eastAsia="ja-JP"/>
              </w:rPr>
              <w:t>3, since some networks are under the Notification process.</w:t>
            </w:r>
          </w:p>
        </w:tc>
        <w:tc>
          <w:tcPr>
            <w:tcW w:w="1088" w:type="dxa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3B5EDC" w:rsidRDefault="00DD3B31" w:rsidP="0017209B">
            <w:pPr>
              <w:pStyle w:val="Tabletext"/>
              <w:jc w:val="center"/>
              <w:rPr>
                <w:color w:val="000000"/>
              </w:rPr>
            </w:pPr>
            <w:r w:rsidRPr="003B5EDC">
              <w:rPr>
                <w:color w:val="000000"/>
              </w:rPr>
              <w:t>901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Determination of the orbital arc separation</w:t>
            </w:r>
          </w:p>
        </w:tc>
        <w:tc>
          <w:tcPr>
            <w:tcW w:w="7223" w:type="dxa"/>
          </w:tcPr>
          <w:p w:rsidR="00DD3B31" w:rsidRPr="0097541B" w:rsidRDefault="00DD3B31" w:rsidP="0017209B">
            <w:pPr>
              <w:pStyle w:val="Tabletext"/>
              <w:rPr>
                <w:rStyle w:val="FootnoteReference"/>
                <w:color w:val="000000"/>
                <w:szCs w:val="22"/>
              </w:rPr>
            </w:pPr>
            <w:r w:rsidRPr="0097541B">
              <w:rPr>
                <w:bCs/>
                <w:szCs w:val="22"/>
                <w:lang w:eastAsia="ja-JP"/>
              </w:rPr>
              <w:t xml:space="preserve">Still relevant. </w:t>
            </w:r>
            <w:r w:rsidRPr="0097541B">
              <w:rPr>
                <w:bCs/>
                <w:szCs w:val="22"/>
              </w:rPr>
              <w:t xml:space="preserve">This Resolution is referred to in </w:t>
            </w:r>
            <w:r w:rsidRPr="0097541B">
              <w:rPr>
                <w:bCs/>
                <w:szCs w:val="22"/>
                <w:lang w:eastAsia="ja-JP"/>
              </w:rPr>
              <w:t xml:space="preserve">Table 5-1 of Appendix </w:t>
            </w:r>
            <w:r w:rsidRPr="003353EC">
              <w:rPr>
                <w:b/>
                <w:bCs/>
                <w:szCs w:val="22"/>
                <w:lang w:eastAsia="ja-JP"/>
              </w:rPr>
              <w:t>5</w:t>
            </w:r>
            <w:r w:rsidRPr="0097541B">
              <w:rPr>
                <w:bCs/>
                <w:szCs w:val="22"/>
              </w:rPr>
              <w:t>.</w:t>
            </w:r>
            <w:r w:rsidRPr="0097541B">
              <w:rPr>
                <w:bCs/>
                <w:szCs w:val="22"/>
                <w:lang w:eastAsia="ja-JP"/>
              </w:rPr>
              <w:t xml:space="preserve"> ITU-R studies are </w:t>
            </w:r>
            <w:proofErr w:type="spellStart"/>
            <w:r w:rsidRPr="0097541B">
              <w:rPr>
                <w:bCs/>
                <w:szCs w:val="22"/>
                <w:lang w:eastAsia="ja-JP"/>
              </w:rPr>
              <w:t>ongoing</w:t>
            </w:r>
            <w:proofErr w:type="spellEnd"/>
            <w:r w:rsidRPr="0097541B">
              <w:rPr>
                <w:bCs/>
                <w:szCs w:val="22"/>
                <w:lang w:eastAsia="ja-JP"/>
              </w:rPr>
              <w:t xml:space="preserve"> in Study Group 4 and SC. Recommendation ITU</w:t>
            </w:r>
            <w:r w:rsidRPr="0097541B">
              <w:rPr>
                <w:bCs/>
                <w:szCs w:val="22"/>
                <w:lang w:eastAsia="ja-JP"/>
              </w:rPr>
              <w:noBreakHyphen/>
              <w:t>R S.1780 has been in force.</w:t>
            </w:r>
          </w:p>
        </w:tc>
        <w:tc>
          <w:tcPr>
            <w:tcW w:w="1088" w:type="dxa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C0C0C0"/>
          </w:tcPr>
          <w:p w:rsidR="00DD3B31" w:rsidRPr="003B5EDC" w:rsidRDefault="00DD3B31" w:rsidP="0017209B">
            <w:pPr>
              <w:pStyle w:val="Tabletext"/>
              <w:jc w:val="center"/>
              <w:rPr>
                <w:color w:val="000000"/>
              </w:rPr>
            </w:pPr>
            <w:r w:rsidRPr="003B5EDC">
              <w:rPr>
                <w:color w:val="000000"/>
              </w:rPr>
              <w:t>902</w:t>
            </w:r>
          </w:p>
        </w:tc>
        <w:tc>
          <w:tcPr>
            <w:tcW w:w="4395" w:type="dxa"/>
            <w:shd w:val="clear" w:color="auto" w:fill="C0C0C0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Provisions related to earth stations located on board vessels, in FSS networks in 5 925-6 425 MHz and 14-14.5 GHz</w:t>
            </w:r>
          </w:p>
        </w:tc>
        <w:tc>
          <w:tcPr>
            <w:tcW w:w="7223" w:type="dxa"/>
            <w:shd w:val="clear" w:color="auto" w:fill="C0C0C0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752BA2">
              <w:rPr>
                <w:szCs w:val="22"/>
              </w:rPr>
              <w:t xml:space="preserve"> 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1.</w:t>
            </w:r>
            <w:r>
              <w:rPr>
                <w:rFonts w:hint="eastAsia"/>
                <w:b/>
                <w:szCs w:val="22"/>
                <w:lang w:eastAsia="ja-JP"/>
              </w:rPr>
              <w:t>8</w:t>
            </w:r>
            <w:r w:rsidRPr="00752BA2">
              <w:rPr>
                <w:b/>
                <w:szCs w:val="22"/>
                <w:lang w:eastAsia="ja-JP"/>
              </w:rPr>
              <w:t>)</w:t>
            </w:r>
          </w:p>
        </w:tc>
        <w:tc>
          <w:tcPr>
            <w:tcW w:w="1088" w:type="dxa"/>
            <w:shd w:val="clear" w:color="auto" w:fill="C0C0C0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</w:rPr>
              <w:t>NOC</w:t>
            </w:r>
          </w:p>
        </w:tc>
        <w:tc>
          <w:tcPr>
            <w:tcW w:w="1088" w:type="dxa"/>
            <w:shd w:val="clear" w:color="auto" w:fill="C0C0C0"/>
          </w:tcPr>
          <w:p w:rsidR="00DD3B31" w:rsidRPr="002C2BBD" w:rsidRDefault="00DD3B31" w:rsidP="0017209B">
            <w:pPr>
              <w:pStyle w:val="Tabletext"/>
              <w:jc w:val="center"/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3B5EDC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903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rPr>
                <w:sz w:val="22"/>
                <w:szCs w:val="22"/>
                <w:lang w:val="en-GB"/>
              </w:rPr>
            </w:pPr>
            <w:r w:rsidRPr="0097541B">
              <w:rPr>
                <w:sz w:val="22"/>
                <w:szCs w:val="22"/>
              </w:rPr>
              <w:t>Transitional measures for certain</w:t>
            </w:r>
            <w:r>
              <w:rPr>
                <w:rFonts w:eastAsia="Times New Roman" w:hint="eastAsia"/>
                <w:sz w:val="22"/>
                <w:szCs w:val="22"/>
                <w:lang w:eastAsia="ja-JP"/>
              </w:rPr>
              <w:t xml:space="preserve"> BSS</w:t>
            </w:r>
            <w:r w:rsidRPr="0097541B">
              <w:rPr>
                <w:sz w:val="22"/>
                <w:szCs w:val="22"/>
              </w:rPr>
              <w:t>/</w:t>
            </w:r>
            <w:r>
              <w:rPr>
                <w:rFonts w:eastAsia="Times New Roman" w:hint="eastAsia"/>
                <w:sz w:val="22"/>
                <w:szCs w:val="22"/>
                <w:lang w:eastAsia="ja-JP"/>
              </w:rPr>
              <w:t>FSS</w:t>
            </w:r>
            <w:r w:rsidRPr="0097541B">
              <w:rPr>
                <w:sz w:val="22"/>
                <w:szCs w:val="22"/>
              </w:rPr>
              <w:t xml:space="preserve"> systems in the band 2 500-2 690 MHz</w:t>
            </w:r>
          </w:p>
        </w:tc>
        <w:tc>
          <w:tcPr>
            <w:tcW w:w="7223" w:type="dxa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  <w:lang w:eastAsia="ja-JP"/>
              </w:rPr>
              <w:t xml:space="preserve">Still relevant. </w:t>
            </w:r>
            <w:r w:rsidRPr="0097541B">
              <w:rPr>
                <w:bCs/>
                <w:szCs w:val="22"/>
              </w:rPr>
              <w:t>This Resolution is referred to in No. </w:t>
            </w:r>
            <w:r w:rsidRPr="0097541B">
              <w:rPr>
                <w:b/>
                <w:bCs/>
                <w:szCs w:val="22"/>
                <w:lang w:eastAsia="ja-JP"/>
              </w:rPr>
              <w:t>21</w:t>
            </w:r>
            <w:r w:rsidRPr="0097541B">
              <w:rPr>
                <w:b/>
                <w:bCs/>
                <w:szCs w:val="22"/>
              </w:rPr>
              <w:t>.</w:t>
            </w:r>
            <w:r w:rsidRPr="0097541B">
              <w:rPr>
                <w:b/>
                <w:bCs/>
                <w:szCs w:val="22"/>
                <w:lang w:eastAsia="ja-JP"/>
              </w:rPr>
              <w:t>16.3</w:t>
            </w:r>
            <w:r w:rsidRPr="0097541B">
              <w:rPr>
                <w:b/>
                <w:bCs/>
                <w:szCs w:val="22"/>
              </w:rPr>
              <w:t>A</w:t>
            </w:r>
            <w:r w:rsidRPr="0097541B">
              <w:rPr>
                <w:bCs/>
                <w:szCs w:val="22"/>
              </w:rPr>
              <w:t>.</w:t>
            </w:r>
          </w:p>
        </w:tc>
        <w:tc>
          <w:tcPr>
            <w:tcW w:w="1088" w:type="dxa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3B5EDC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904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rPr>
                <w:sz w:val="22"/>
                <w:szCs w:val="22"/>
                <w:lang w:val="en-GB"/>
              </w:rPr>
            </w:pPr>
            <w:r w:rsidRPr="0097541B">
              <w:rPr>
                <w:sz w:val="22"/>
                <w:szCs w:val="22"/>
              </w:rPr>
              <w:t xml:space="preserve">Transitional measures for coordination between </w:t>
            </w:r>
            <w:r>
              <w:rPr>
                <w:rFonts w:eastAsia="Times New Roman" w:hint="eastAsia"/>
                <w:sz w:val="22"/>
                <w:szCs w:val="22"/>
                <w:lang w:eastAsia="ja-JP"/>
              </w:rPr>
              <w:t>MSS</w:t>
            </w:r>
            <w:r w:rsidRPr="0097541B">
              <w:rPr>
                <w:sz w:val="22"/>
                <w:szCs w:val="22"/>
              </w:rPr>
              <w:t xml:space="preserve"> (Earth-to-space) and </w:t>
            </w:r>
            <w:r>
              <w:rPr>
                <w:rFonts w:eastAsia="Times New Roman" w:hint="eastAsia"/>
                <w:sz w:val="22"/>
                <w:szCs w:val="22"/>
                <w:lang w:eastAsia="ja-JP"/>
              </w:rPr>
              <w:t>SRS</w:t>
            </w:r>
            <w:r w:rsidRPr="0097541B">
              <w:rPr>
                <w:sz w:val="22"/>
                <w:szCs w:val="22"/>
              </w:rPr>
              <w:t xml:space="preserve"> (passive) in the band 1 668-1 668.4 MHz for a specific case</w:t>
            </w:r>
          </w:p>
        </w:tc>
        <w:tc>
          <w:tcPr>
            <w:tcW w:w="7223" w:type="dxa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  <w:lang w:eastAsia="ja-JP"/>
              </w:rPr>
              <w:t xml:space="preserve">Still relevant. </w:t>
            </w:r>
            <w:r w:rsidRPr="0097541B">
              <w:rPr>
                <w:bCs/>
                <w:szCs w:val="22"/>
              </w:rPr>
              <w:t>This Resolution is referred to in No. </w:t>
            </w:r>
            <w:r w:rsidRPr="0097541B">
              <w:rPr>
                <w:b/>
                <w:bCs/>
                <w:szCs w:val="22"/>
              </w:rPr>
              <w:t>5.</w:t>
            </w:r>
            <w:r w:rsidRPr="0097541B">
              <w:rPr>
                <w:b/>
                <w:bCs/>
                <w:szCs w:val="22"/>
                <w:lang w:eastAsia="ja-JP"/>
              </w:rPr>
              <w:t>379B</w:t>
            </w:r>
            <w:r w:rsidRPr="0097541B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088" w:type="dxa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</w:tcPr>
          <w:p w:rsidR="00DD3B31" w:rsidRPr="003B5EDC" w:rsidRDefault="00DD3B31" w:rsidP="0017209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906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Electronic submission of notice forms for terrestrial services to the Radiocommunication Bureau and exchange of data between administrations</w:t>
            </w:r>
          </w:p>
        </w:tc>
        <w:tc>
          <w:tcPr>
            <w:tcW w:w="7223" w:type="dxa"/>
          </w:tcPr>
          <w:p w:rsidR="00DD3B31" w:rsidRPr="0097541B" w:rsidRDefault="00DD3B31" w:rsidP="0017209B">
            <w:pPr>
              <w:pStyle w:val="Tabletext"/>
              <w:rPr>
                <w:szCs w:val="22"/>
                <w:lang w:eastAsia="ja-JP"/>
              </w:rPr>
            </w:pPr>
            <w:r>
              <w:rPr>
                <w:bCs/>
                <w:szCs w:val="22"/>
                <w:lang w:eastAsia="ja-JP"/>
              </w:rPr>
              <w:t xml:space="preserve">As suggested in the CPM </w:t>
            </w:r>
            <w:proofErr w:type="spellStart"/>
            <w:r>
              <w:rPr>
                <w:bCs/>
                <w:szCs w:val="22"/>
                <w:lang w:eastAsia="ja-JP"/>
              </w:rPr>
              <w:t>Report</w:t>
            </w:r>
            <w:r>
              <w:rPr>
                <w:rFonts w:hint="eastAsia"/>
                <w:bCs/>
                <w:szCs w:val="22"/>
                <w:lang w:eastAsia="ja-JP"/>
              </w:rPr>
              <w:t>to</w:t>
            </w:r>
            <w:proofErr w:type="spellEnd"/>
            <w:r>
              <w:rPr>
                <w:rFonts w:hint="eastAsia"/>
                <w:bCs/>
                <w:szCs w:val="22"/>
                <w:lang w:eastAsia="ja-JP"/>
              </w:rPr>
              <w:t xml:space="preserve"> WRC-12</w:t>
            </w:r>
            <w:r w:rsidRPr="0097541B">
              <w:rPr>
                <w:bCs/>
                <w:szCs w:val="22"/>
                <w:lang w:eastAsia="ja-JP"/>
              </w:rPr>
              <w:t xml:space="preserve"> has been already implemented and could be suppressed.</w:t>
            </w:r>
          </w:p>
        </w:tc>
        <w:tc>
          <w:tcPr>
            <w:tcW w:w="1088" w:type="dxa"/>
          </w:tcPr>
          <w:p w:rsidR="00DD3B31" w:rsidRPr="0097541B" w:rsidRDefault="00DD3B31" w:rsidP="0017209B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lastRenderedPageBreak/>
              <w:t>907</w:t>
            </w:r>
          </w:p>
        </w:tc>
        <w:tc>
          <w:tcPr>
            <w:tcW w:w="4395" w:type="dxa"/>
            <w:shd w:val="clear" w:color="auto" w:fill="auto"/>
          </w:tcPr>
          <w:p w:rsidR="00DD3B31" w:rsidRPr="00752BA2" w:rsidRDefault="00DD3B31" w:rsidP="0017209B">
            <w:pPr>
              <w:pStyle w:val="Tabletext"/>
            </w:pPr>
            <w:r w:rsidRPr="00752BA2">
              <w:t xml:space="preserve">Use of modern electronic means of communication for administrative correspondence related to advance publication, coordination and notification of satellite networks including </w:t>
            </w:r>
            <w:r w:rsidRPr="00752BA2">
              <w:rPr>
                <w:iCs/>
              </w:rPr>
              <w:t>that related to Appendices 30, 30A and 30B</w:t>
            </w:r>
            <w:r w:rsidRPr="00752BA2">
              <w:t>, earth stations and radio astronomy stations</w:t>
            </w:r>
          </w:p>
        </w:tc>
        <w:tc>
          <w:tcPr>
            <w:tcW w:w="7223" w:type="dxa"/>
            <w:shd w:val="clear" w:color="auto" w:fill="auto"/>
          </w:tcPr>
          <w:p w:rsidR="00DD3B31" w:rsidRPr="00752BA2" w:rsidRDefault="00DD3B31" w:rsidP="0017209B">
            <w:pPr>
              <w:pStyle w:val="Tabletext"/>
              <w:jc w:val="center"/>
            </w:pPr>
            <w:r w:rsidRPr="00752BA2">
              <w:t>–</w:t>
            </w:r>
          </w:p>
        </w:tc>
        <w:tc>
          <w:tcPr>
            <w:tcW w:w="1088" w:type="dxa"/>
            <w:shd w:val="clear" w:color="auto" w:fill="auto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908</w:t>
            </w:r>
          </w:p>
        </w:tc>
        <w:tc>
          <w:tcPr>
            <w:tcW w:w="4395" w:type="dxa"/>
            <w:shd w:val="clear" w:color="auto" w:fill="auto"/>
          </w:tcPr>
          <w:p w:rsidR="00DD3B31" w:rsidRPr="00752BA2" w:rsidRDefault="00DD3B31" w:rsidP="0017209B">
            <w:pPr>
              <w:pStyle w:val="Tabletext"/>
            </w:pPr>
            <w:r w:rsidRPr="00752BA2">
              <w:t>Electronic submission and publication of advance publication information</w:t>
            </w:r>
          </w:p>
        </w:tc>
        <w:tc>
          <w:tcPr>
            <w:tcW w:w="7223" w:type="dxa"/>
            <w:shd w:val="clear" w:color="auto" w:fill="auto"/>
          </w:tcPr>
          <w:p w:rsidR="00DD3B31" w:rsidRPr="00752BA2" w:rsidRDefault="00DD3B31" w:rsidP="0017209B">
            <w:pPr>
              <w:pStyle w:val="Tabletext"/>
              <w:jc w:val="center"/>
            </w:pPr>
            <w:r w:rsidRPr="00752BA2">
              <w:t>–</w:t>
            </w:r>
          </w:p>
        </w:tc>
        <w:tc>
          <w:tcPr>
            <w:tcW w:w="1088" w:type="dxa"/>
            <w:shd w:val="clear" w:color="auto" w:fill="auto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909</w:t>
            </w:r>
          </w:p>
        </w:tc>
        <w:tc>
          <w:tcPr>
            <w:tcW w:w="4395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</w:pPr>
            <w:r w:rsidRPr="00752BA2">
              <w:t>Provisions relating to earth stations located on board vessels which operate in fixed-satellite service networks in the uplink bands 5 925-6 425 MHz and 14-14.5 GHz</w:t>
            </w:r>
          </w:p>
        </w:tc>
        <w:tc>
          <w:tcPr>
            <w:tcW w:w="7223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</w:pPr>
            <w:r w:rsidRPr="00752BA2">
              <w:t>For consideration by WRC-</w:t>
            </w:r>
            <w:r w:rsidRPr="00752BA2">
              <w:rPr>
                <w:rFonts w:hint="eastAsia"/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rFonts w:hint="eastAsia"/>
                <w:b/>
                <w:lang w:eastAsia="ja-JP"/>
              </w:rPr>
              <w:t>8)</w:t>
            </w:r>
            <w:r w:rsidRPr="00752BA2">
              <w:rPr>
                <w:b/>
              </w:rPr>
              <w:t>.</w:t>
            </w:r>
          </w:p>
        </w:tc>
        <w:tc>
          <w:tcPr>
            <w:tcW w:w="1088" w:type="dxa"/>
            <w:shd w:val="clear" w:color="auto" w:fill="BFBFBF"/>
          </w:tcPr>
          <w:p w:rsidR="00DD3B31" w:rsidRPr="00752BA2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BFBFBF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C0C0C0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957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C0C0C0"/>
          </w:tcPr>
          <w:p w:rsidR="00DD3B31" w:rsidRPr="004E5DFF" w:rsidRDefault="00DD3B31" w:rsidP="0017209B">
            <w:pPr>
              <w:pStyle w:val="Tabletext"/>
            </w:pPr>
            <w:r w:rsidRPr="004E5DFF">
              <w:t xml:space="preserve">Studies towards review of the definitions of </w:t>
            </w:r>
            <w:r w:rsidRPr="004E5DFF">
              <w:rPr>
                <w:i/>
              </w:rPr>
              <w:t>fixed service</w:t>
            </w:r>
            <w:r w:rsidRPr="004E5DFF">
              <w:t xml:space="preserve">, </w:t>
            </w:r>
            <w:r w:rsidRPr="004E5DFF">
              <w:rPr>
                <w:i/>
              </w:rPr>
              <w:t>fixed station</w:t>
            </w:r>
            <w:r w:rsidRPr="004E5DFF">
              <w:t xml:space="preserve"> and </w:t>
            </w:r>
            <w:r w:rsidRPr="004E5DFF">
              <w:rPr>
                <w:i/>
              </w:rPr>
              <w:t>mobile station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C0C0C0"/>
          </w:tcPr>
          <w:p w:rsidR="00DD3B31" w:rsidRPr="004E5DFF" w:rsidRDefault="00DD3B31" w:rsidP="0017209B">
            <w:pPr>
              <w:pStyle w:val="Tabletext"/>
              <w:rPr>
                <w:lang w:eastAsia="ja-JP"/>
              </w:rPr>
            </w:pPr>
            <w:r w:rsidRPr="00752BA2">
              <w:rPr>
                <w:szCs w:val="22"/>
              </w:rPr>
              <w:t xml:space="preserve"> 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</w:t>
            </w:r>
            <w:r>
              <w:rPr>
                <w:rFonts w:hint="eastAsia"/>
                <w:b/>
                <w:szCs w:val="22"/>
                <w:lang w:eastAsia="ja-JP"/>
              </w:rPr>
              <w:t>9</w:t>
            </w:r>
            <w:r w:rsidRPr="00752BA2">
              <w:rPr>
                <w:b/>
                <w:szCs w:val="22"/>
              </w:rPr>
              <w:t>.</w:t>
            </w:r>
            <w:r>
              <w:rPr>
                <w:rFonts w:hint="eastAsia"/>
                <w:b/>
                <w:szCs w:val="22"/>
                <w:lang w:eastAsia="ja-JP"/>
              </w:rPr>
              <w:t>1.6</w:t>
            </w:r>
            <w:r w:rsidRPr="00752BA2">
              <w:rPr>
                <w:b/>
                <w:szCs w:val="22"/>
                <w:lang w:eastAsia="ja-JP"/>
              </w:rPr>
              <w:t>)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C0C0C0"/>
          </w:tcPr>
          <w:p w:rsidR="00DD3B31" w:rsidRPr="004E5DFF" w:rsidRDefault="00DD3B31" w:rsidP="0017209B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C0C0C0"/>
          </w:tcPr>
          <w:p w:rsidR="00DD3B31" w:rsidRDefault="00DD3B31" w:rsidP="0017209B">
            <w:pPr>
              <w:pStyle w:val="Tabletext"/>
              <w:jc w:val="center"/>
              <w:rPr>
                <w:lang w:eastAsia="ja-JP"/>
              </w:rPr>
            </w:pPr>
          </w:p>
        </w:tc>
      </w:tr>
    </w:tbl>
    <w:p w:rsidR="00DD3B31" w:rsidRDefault="00DD3B31" w:rsidP="00DD3B31"/>
    <w:p w:rsidR="00DD3B31" w:rsidRPr="002C2BBD" w:rsidRDefault="00DD3B31" w:rsidP="00DD3B31">
      <w:pPr>
        <w:rPr>
          <w:color w:val="000000"/>
        </w:rPr>
      </w:pPr>
      <w:r>
        <w:br w:type="page"/>
      </w:r>
    </w:p>
    <w:tbl>
      <w:tblPr>
        <w:tblW w:w="14730" w:type="dxa"/>
        <w:jc w:val="center"/>
        <w:tblInd w:w="-7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24"/>
        <w:gridCol w:w="4395"/>
        <w:gridCol w:w="7229"/>
        <w:gridCol w:w="1134"/>
        <w:gridCol w:w="1048"/>
      </w:tblGrid>
      <w:tr w:rsidR="00DD3B31" w:rsidRPr="00956770" w:rsidTr="0017209B">
        <w:trPr>
          <w:cantSplit/>
          <w:tblHeader/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DD3B31" w:rsidRPr="00D16FA6" w:rsidRDefault="00DD3B31" w:rsidP="0017209B">
            <w:pPr>
              <w:pStyle w:val="Tablehead0"/>
              <w:rPr>
                <w:bCs/>
              </w:rPr>
            </w:pPr>
            <w:r w:rsidRPr="00D16FA6">
              <w:rPr>
                <w:bCs/>
              </w:rPr>
              <w:lastRenderedPageBreak/>
              <w:t>Rec. No.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D3B31" w:rsidRPr="00D16FA6" w:rsidRDefault="00DD3B31" w:rsidP="0017209B">
            <w:pPr>
              <w:pStyle w:val="Tablehead0"/>
              <w:rPr>
                <w:bCs/>
              </w:rPr>
            </w:pPr>
            <w:r w:rsidRPr="00D16FA6">
              <w:rPr>
                <w:bCs/>
              </w:rPr>
              <w:t>Subject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D3B31" w:rsidRPr="00D137DA" w:rsidRDefault="00DD3B31" w:rsidP="0017209B">
            <w:pPr>
              <w:pStyle w:val="Tablehead0"/>
              <w:rPr>
                <w:lang w:eastAsia="ja-JP"/>
              </w:rPr>
            </w:pPr>
            <w:r w:rsidRPr="002C2BBD">
              <w:t>Remark</w:t>
            </w:r>
            <w:r>
              <w:rPr>
                <w:rFonts w:hint="eastAsia"/>
                <w:lang w:eastAsia="ja-JP"/>
              </w:rPr>
              <w:t>s made by the APG in its common proposal to the WRC-12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B31" w:rsidRPr="00D16FA6" w:rsidRDefault="00DD3B31" w:rsidP="0017209B">
            <w:pPr>
              <w:pStyle w:val="Tablehead0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Action taken by WRC-12</w:t>
            </w:r>
          </w:p>
        </w:tc>
        <w:tc>
          <w:tcPr>
            <w:tcW w:w="1048" w:type="dxa"/>
          </w:tcPr>
          <w:p w:rsidR="00DD3B31" w:rsidRPr="00D16FA6" w:rsidRDefault="00DD3B31" w:rsidP="0017209B">
            <w:pPr>
              <w:pStyle w:val="Tablehead0"/>
              <w:rPr>
                <w:bCs/>
              </w:rPr>
            </w:pPr>
            <w:r>
              <w:rPr>
                <w:rFonts w:hint="eastAsia"/>
                <w:bCs/>
                <w:lang w:eastAsia="ja-JP"/>
              </w:rPr>
              <w:t>New p</w:t>
            </w:r>
            <w:r w:rsidRPr="00D16FA6">
              <w:rPr>
                <w:bCs/>
              </w:rPr>
              <w:t>roposed action</w:t>
            </w:r>
          </w:p>
        </w:tc>
      </w:tr>
      <w:tr w:rsidR="00DD3B31" w:rsidRPr="00956770" w:rsidTr="0017209B">
        <w:trPr>
          <w:cantSplit/>
          <w:tblHeader/>
          <w:jc w:val="center"/>
        </w:trPr>
        <w:tc>
          <w:tcPr>
            <w:tcW w:w="14730" w:type="dxa"/>
            <w:gridSpan w:val="5"/>
            <w:shd w:val="clear" w:color="auto" w:fill="auto"/>
            <w:vAlign w:val="center"/>
          </w:tcPr>
          <w:p w:rsidR="00DD3B31" w:rsidRPr="00D16FA6" w:rsidDel="00E07908" w:rsidRDefault="00DD3B31" w:rsidP="0017209B">
            <w:pPr>
              <w:pStyle w:val="Tablehead0"/>
              <w:rPr>
                <w:bCs/>
              </w:rPr>
            </w:pPr>
            <w:r w:rsidRPr="00D16FA6">
              <w:rPr>
                <w:bCs/>
              </w:rPr>
              <w:t>Recommendations</w:t>
            </w: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2C2BBD">
              <w:rPr>
                <w:lang w:eastAsia="en-US"/>
              </w:rPr>
              <w:t>7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Char"/>
              <w:rPr>
                <w:lang w:eastAsia="ja-JP"/>
              </w:rPr>
            </w:pPr>
            <w:r w:rsidRPr="0097541B">
              <w:rPr>
                <w:lang w:eastAsia="en-US"/>
              </w:rPr>
              <w:t xml:space="preserve">Standard </w:t>
            </w:r>
            <w:r w:rsidRPr="0097541B">
              <w:rPr>
                <w:lang w:eastAsia="ja-JP"/>
              </w:rPr>
              <w:t xml:space="preserve">license </w:t>
            </w:r>
            <w:r w:rsidRPr="0097541B">
              <w:rPr>
                <w:lang w:eastAsia="en-US"/>
              </w:rPr>
              <w:t xml:space="preserve">forms for </w:t>
            </w:r>
            <w:r w:rsidRPr="0097541B">
              <w:rPr>
                <w:lang w:eastAsia="ja-JP"/>
              </w:rPr>
              <w:t>ship/ship-earth stations and aircraft/aircraft-earth stations</w:t>
            </w:r>
          </w:p>
        </w:tc>
        <w:tc>
          <w:tcPr>
            <w:tcW w:w="7229" w:type="dxa"/>
          </w:tcPr>
          <w:p w:rsidR="00DD3B31" w:rsidRPr="0097541B" w:rsidRDefault="00DD3B31" w:rsidP="0017209B">
            <w:pPr>
              <w:pStyle w:val="TabletextChar"/>
              <w:rPr>
                <w:rStyle w:val="FootnoteReference"/>
                <w:color w:val="000000"/>
                <w:lang w:eastAsia="en-US"/>
              </w:rPr>
            </w:pPr>
            <w:r w:rsidRPr="0097541B">
              <w:rPr>
                <w:lang w:eastAsia="en-US"/>
              </w:rPr>
              <w:t>Still relevant</w:t>
            </w:r>
          </w:p>
        </w:tc>
        <w:tc>
          <w:tcPr>
            <w:tcW w:w="1134" w:type="dxa"/>
          </w:tcPr>
          <w:p w:rsidR="00DD3B31" w:rsidRPr="0097541B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97541B">
              <w:rPr>
                <w:lang w:eastAsia="en-US"/>
              </w:rPr>
              <w:t>NOC</w:t>
            </w:r>
          </w:p>
        </w:tc>
        <w:tc>
          <w:tcPr>
            <w:tcW w:w="1048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2C2BBD">
              <w:rPr>
                <w:lang w:eastAsia="en-US"/>
              </w:rPr>
              <w:t>8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Char"/>
              <w:rPr>
                <w:lang w:eastAsia="ja-JP"/>
              </w:rPr>
            </w:pPr>
            <w:r w:rsidRPr="0097541B">
              <w:rPr>
                <w:lang w:eastAsia="en-US"/>
              </w:rPr>
              <w:t>Automatic identification</w:t>
            </w:r>
            <w:r w:rsidRPr="0097541B">
              <w:rPr>
                <w:lang w:eastAsia="ja-JP"/>
              </w:rPr>
              <w:t xml:space="preserve"> of stations</w:t>
            </w:r>
          </w:p>
        </w:tc>
        <w:tc>
          <w:tcPr>
            <w:tcW w:w="7229" w:type="dxa"/>
          </w:tcPr>
          <w:p w:rsidR="00DD3B31" w:rsidRPr="0097541B" w:rsidRDefault="00DD3B31" w:rsidP="0017209B">
            <w:pPr>
              <w:pStyle w:val="TabletextChar"/>
              <w:rPr>
                <w:lang w:eastAsia="en-US"/>
              </w:rPr>
            </w:pPr>
            <w:r w:rsidRPr="0097541B">
              <w:rPr>
                <w:lang w:eastAsia="en-US"/>
              </w:rPr>
              <w:t xml:space="preserve">Still relevant (in the new context), </w:t>
            </w:r>
            <w:proofErr w:type="spellStart"/>
            <w:r w:rsidRPr="0097541B">
              <w:rPr>
                <w:lang w:eastAsia="en-US"/>
              </w:rPr>
              <w:t>ongoing</w:t>
            </w:r>
            <w:proofErr w:type="spellEnd"/>
            <w:r w:rsidRPr="0097541B">
              <w:rPr>
                <w:lang w:eastAsia="en-US"/>
              </w:rPr>
              <w:t xml:space="preserve"> studies</w:t>
            </w:r>
          </w:p>
        </w:tc>
        <w:tc>
          <w:tcPr>
            <w:tcW w:w="1134" w:type="dxa"/>
          </w:tcPr>
          <w:p w:rsidR="00DD3B31" w:rsidRPr="0097541B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97541B">
              <w:rPr>
                <w:lang w:eastAsia="en-US"/>
              </w:rPr>
              <w:t>NOC</w:t>
            </w:r>
          </w:p>
        </w:tc>
        <w:tc>
          <w:tcPr>
            <w:tcW w:w="1048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2C2BBD">
              <w:rPr>
                <w:lang w:eastAsia="en-US"/>
              </w:rPr>
              <w:t>9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Char"/>
              <w:rPr>
                <w:lang w:eastAsia="en-US"/>
              </w:rPr>
            </w:pPr>
            <w:r w:rsidRPr="0097541B">
              <w:rPr>
                <w:lang w:eastAsia="en-US"/>
              </w:rPr>
              <w:t>Operation of BC stations on board ships/aircraft</w:t>
            </w:r>
          </w:p>
        </w:tc>
        <w:tc>
          <w:tcPr>
            <w:tcW w:w="7229" w:type="dxa"/>
          </w:tcPr>
          <w:p w:rsidR="00DD3B31" w:rsidRPr="0097541B" w:rsidRDefault="00DD3B31" w:rsidP="0017209B">
            <w:pPr>
              <w:pStyle w:val="TabletextChar"/>
              <w:rPr>
                <w:rStyle w:val="FootnoteReference"/>
                <w:color w:val="000000"/>
                <w:lang w:eastAsia="en-US"/>
              </w:rPr>
            </w:pPr>
            <w:r w:rsidRPr="0097541B">
              <w:rPr>
                <w:lang w:eastAsia="en-US"/>
              </w:rPr>
              <w:t>Still relevant</w:t>
            </w:r>
          </w:p>
        </w:tc>
        <w:tc>
          <w:tcPr>
            <w:tcW w:w="1134" w:type="dxa"/>
          </w:tcPr>
          <w:p w:rsidR="00DD3B31" w:rsidRPr="0097541B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97541B">
              <w:rPr>
                <w:lang w:eastAsia="en-US"/>
              </w:rPr>
              <w:t>NOC</w:t>
            </w:r>
          </w:p>
        </w:tc>
        <w:tc>
          <w:tcPr>
            <w:tcW w:w="1048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DD3B31" w:rsidRPr="004E5DFF" w:rsidRDefault="00DD3B31" w:rsidP="0017209B">
            <w:pPr>
              <w:pStyle w:val="TabletextChar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16</w:t>
            </w:r>
          </w:p>
        </w:tc>
        <w:tc>
          <w:tcPr>
            <w:tcW w:w="4395" w:type="dxa"/>
            <w:shd w:val="clear" w:color="auto" w:fill="auto"/>
          </w:tcPr>
          <w:p w:rsidR="00DD3B31" w:rsidRPr="004E5DFF" w:rsidRDefault="00DD3B31" w:rsidP="0017209B">
            <w:pPr>
              <w:pStyle w:val="TabletextChar"/>
              <w:rPr>
                <w:lang w:eastAsia="en-US"/>
              </w:rPr>
            </w:pPr>
            <w:r w:rsidRPr="004E5DFF">
              <w:rPr>
                <w:lang w:eastAsia="en-US"/>
              </w:rPr>
              <w:t>Interference management for stations that may operate under more than one terrestrial radiocommunication service</w:t>
            </w:r>
          </w:p>
        </w:tc>
        <w:tc>
          <w:tcPr>
            <w:tcW w:w="7229" w:type="dxa"/>
            <w:shd w:val="clear" w:color="auto" w:fill="auto"/>
          </w:tcPr>
          <w:p w:rsidR="00DD3B31" w:rsidRPr="004E5DFF" w:rsidRDefault="00DD3B31" w:rsidP="0017209B">
            <w:pPr>
              <w:pStyle w:val="TabletextChar"/>
              <w:jc w:val="center"/>
              <w:rPr>
                <w:lang w:eastAsia="ja-JP"/>
              </w:rPr>
            </w:pPr>
            <w:r w:rsidRPr="004E5DFF">
              <w:rPr>
                <w:lang w:eastAsia="en-US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DD3B31" w:rsidRPr="004E5DFF" w:rsidRDefault="00DD3B31" w:rsidP="0017209B">
            <w:pPr>
              <w:pStyle w:val="TabletextChar"/>
              <w:jc w:val="center"/>
              <w:rPr>
                <w:lang w:eastAsia="ja-JP"/>
              </w:rPr>
            </w:pPr>
            <w:r w:rsidRPr="004E5DFF">
              <w:rPr>
                <w:lang w:eastAsia="ja-JP"/>
              </w:rPr>
              <w:t>ADD</w:t>
            </w:r>
          </w:p>
        </w:tc>
        <w:tc>
          <w:tcPr>
            <w:tcW w:w="1048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</w:tcPr>
          <w:p w:rsidR="00DD3B31" w:rsidRPr="004E5DFF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4E5DFF">
              <w:rPr>
                <w:lang w:eastAsia="en-US"/>
              </w:rPr>
              <w:t>34</w:t>
            </w:r>
          </w:p>
        </w:tc>
        <w:tc>
          <w:tcPr>
            <w:tcW w:w="4395" w:type="dxa"/>
          </w:tcPr>
          <w:p w:rsidR="00DD3B31" w:rsidRPr="004E5DFF" w:rsidRDefault="00DD3B31" w:rsidP="0017209B">
            <w:pPr>
              <w:pStyle w:val="TabletextChar"/>
              <w:rPr>
                <w:lang w:eastAsia="en-US"/>
              </w:rPr>
            </w:pPr>
            <w:r w:rsidRPr="004E5DFF">
              <w:rPr>
                <w:lang w:eastAsia="en-US"/>
              </w:rPr>
              <w:t>Principles for allocation of frequency bands</w:t>
            </w:r>
          </w:p>
        </w:tc>
        <w:tc>
          <w:tcPr>
            <w:tcW w:w="7229" w:type="dxa"/>
          </w:tcPr>
          <w:p w:rsidR="00DD3B31" w:rsidRPr="004E5DFF" w:rsidRDefault="00DD3B31" w:rsidP="0017209B">
            <w:pPr>
              <w:pStyle w:val="TabletextChar"/>
              <w:rPr>
                <w:rStyle w:val="FootnoteReference"/>
                <w:lang w:eastAsia="en-US"/>
              </w:rPr>
            </w:pPr>
            <w:r w:rsidRPr="004E5DFF">
              <w:rPr>
                <w:lang w:eastAsia="ja-JP"/>
              </w:rPr>
              <w:t>This Resolution may be considered in relation to</w:t>
            </w:r>
            <w:r>
              <w:rPr>
                <w:rFonts w:hint="eastAsia"/>
                <w:lang w:eastAsia="ja-JP"/>
              </w:rPr>
              <w:t xml:space="preserve">WRC-12 </w:t>
            </w:r>
            <w:r w:rsidRPr="004E5DFF">
              <w:rPr>
                <w:lang w:eastAsia="ja-JP"/>
              </w:rPr>
              <w:t>Agenda item 1.2.</w:t>
            </w:r>
          </w:p>
        </w:tc>
        <w:tc>
          <w:tcPr>
            <w:tcW w:w="1134" w:type="dxa"/>
          </w:tcPr>
          <w:p w:rsidR="00DD3B31" w:rsidRPr="004E5DFF" w:rsidRDefault="00DD3B31" w:rsidP="0017209B">
            <w:pPr>
              <w:pStyle w:val="TabletextChar"/>
              <w:jc w:val="center"/>
              <w:rPr>
                <w:lang w:eastAsia="ja-JP"/>
              </w:rPr>
            </w:pPr>
            <w:r w:rsidRPr="004E5DFF">
              <w:rPr>
                <w:lang w:eastAsia="ja-JP"/>
              </w:rPr>
              <w:t>MOD</w:t>
            </w:r>
          </w:p>
        </w:tc>
        <w:tc>
          <w:tcPr>
            <w:tcW w:w="1048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</w:tcPr>
          <w:p w:rsidR="00DD3B31" w:rsidRPr="004E5DFF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4E5DFF">
              <w:rPr>
                <w:lang w:eastAsia="en-US"/>
              </w:rPr>
              <w:t>36</w:t>
            </w:r>
          </w:p>
        </w:tc>
        <w:tc>
          <w:tcPr>
            <w:tcW w:w="4395" w:type="dxa"/>
          </w:tcPr>
          <w:p w:rsidR="00DD3B31" w:rsidRPr="004E5DFF" w:rsidRDefault="00DD3B31" w:rsidP="0017209B">
            <w:pPr>
              <w:pStyle w:val="TabletextChar"/>
              <w:rPr>
                <w:lang w:eastAsia="en-US"/>
              </w:rPr>
            </w:pPr>
            <w:r w:rsidRPr="004E5DFF">
              <w:rPr>
                <w:lang w:eastAsia="en-US"/>
              </w:rPr>
              <w:t>International monitoring of emissions from space stations</w:t>
            </w:r>
          </w:p>
        </w:tc>
        <w:tc>
          <w:tcPr>
            <w:tcW w:w="7229" w:type="dxa"/>
          </w:tcPr>
          <w:p w:rsidR="00DD3B31" w:rsidRPr="004E5DFF" w:rsidRDefault="00DD3B31" w:rsidP="0017209B">
            <w:pPr>
              <w:pStyle w:val="TabletextChar"/>
              <w:rPr>
                <w:rStyle w:val="FootnoteReference"/>
                <w:lang w:eastAsia="en-US"/>
              </w:rPr>
            </w:pPr>
            <w:r w:rsidRPr="004E5DFF">
              <w:rPr>
                <w:lang w:eastAsia="en-US"/>
              </w:rPr>
              <w:t xml:space="preserve">Still relevant; </w:t>
            </w:r>
            <w:proofErr w:type="spellStart"/>
            <w:r w:rsidRPr="004E5DFF">
              <w:rPr>
                <w:lang w:eastAsia="en-US"/>
              </w:rPr>
              <w:t>ongoing</w:t>
            </w:r>
            <w:proofErr w:type="spellEnd"/>
            <w:r w:rsidRPr="004E5DFF">
              <w:rPr>
                <w:lang w:eastAsia="en-US"/>
              </w:rPr>
              <w:t xml:space="preserve"> studies in </w:t>
            </w:r>
            <w:r w:rsidRPr="004E5DFF">
              <w:rPr>
                <w:lang w:eastAsia="ja-JP"/>
              </w:rPr>
              <w:t xml:space="preserve">ITU-R </w:t>
            </w:r>
            <w:r w:rsidRPr="004E5DFF">
              <w:rPr>
                <w:lang w:eastAsia="en-US"/>
              </w:rPr>
              <w:t>S</w:t>
            </w:r>
            <w:r w:rsidRPr="004E5DFF">
              <w:rPr>
                <w:lang w:eastAsia="ja-JP"/>
              </w:rPr>
              <w:t xml:space="preserve">tudy </w:t>
            </w:r>
            <w:r w:rsidRPr="004E5DFF">
              <w:rPr>
                <w:lang w:eastAsia="en-US"/>
              </w:rPr>
              <w:t>G</w:t>
            </w:r>
            <w:r w:rsidRPr="004E5DFF">
              <w:rPr>
                <w:lang w:eastAsia="ja-JP"/>
              </w:rPr>
              <w:t>roup</w:t>
            </w:r>
            <w:r w:rsidRPr="004E5DFF">
              <w:rPr>
                <w:lang w:eastAsia="en-US"/>
              </w:rPr>
              <w:t xml:space="preserve"> 1.</w:t>
            </w:r>
          </w:p>
        </w:tc>
        <w:tc>
          <w:tcPr>
            <w:tcW w:w="1134" w:type="dxa"/>
          </w:tcPr>
          <w:p w:rsidR="00DD3B31" w:rsidRPr="004E5DFF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4E5DFF">
              <w:rPr>
                <w:lang w:eastAsia="en-US"/>
              </w:rPr>
              <w:t>NOC</w:t>
            </w:r>
          </w:p>
        </w:tc>
        <w:tc>
          <w:tcPr>
            <w:tcW w:w="1048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</w:tcPr>
          <w:p w:rsidR="00DD3B31" w:rsidRPr="004E5DFF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4E5DFF">
              <w:rPr>
                <w:lang w:eastAsia="en-US"/>
              </w:rPr>
              <w:t>37</w:t>
            </w:r>
          </w:p>
        </w:tc>
        <w:tc>
          <w:tcPr>
            <w:tcW w:w="4395" w:type="dxa"/>
          </w:tcPr>
          <w:p w:rsidR="00DD3B31" w:rsidRPr="004E5DFF" w:rsidRDefault="00DD3B31" w:rsidP="0017209B">
            <w:pPr>
              <w:pStyle w:val="TabletextChar"/>
              <w:rPr>
                <w:lang w:eastAsia="en-US"/>
              </w:rPr>
            </w:pPr>
            <w:r w:rsidRPr="004E5DFF">
              <w:rPr>
                <w:lang w:eastAsia="en-US"/>
              </w:rPr>
              <w:t>Operational procedures for ESV</w:t>
            </w:r>
          </w:p>
        </w:tc>
        <w:tc>
          <w:tcPr>
            <w:tcW w:w="7229" w:type="dxa"/>
          </w:tcPr>
          <w:p w:rsidR="00DD3B31" w:rsidRDefault="00DD3B31" w:rsidP="0017209B">
            <w:pPr>
              <w:pStyle w:val="TabletextChar"/>
              <w:rPr>
                <w:lang w:eastAsia="ja-JP"/>
              </w:rPr>
            </w:pPr>
            <w:r w:rsidRPr="004E5DFF">
              <w:rPr>
                <w:lang w:eastAsia="en-US"/>
              </w:rPr>
              <w:t>Still relevant.</w:t>
            </w:r>
            <w:r w:rsidRPr="004E5DFF">
              <w:rPr>
                <w:lang w:eastAsia="ja-JP"/>
              </w:rPr>
              <w:t xml:space="preserve"> This Recommendation is referred to in Resolution </w:t>
            </w:r>
            <w:r w:rsidRPr="004E5DFF">
              <w:rPr>
                <w:b/>
                <w:lang w:eastAsia="ja-JP"/>
              </w:rPr>
              <w:t>902 (WRC-03)</w:t>
            </w:r>
            <w:r w:rsidRPr="004E5DFF">
              <w:rPr>
                <w:lang w:eastAsia="ja-JP"/>
              </w:rPr>
              <w:t>.</w:t>
            </w:r>
          </w:p>
          <w:p w:rsidR="00DD3B31" w:rsidRPr="00217848" w:rsidRDefault="00DD3B31" w:rsidP="0017209B">
            <w:pPr>
              <w:pStyle w:val="TabletextChar"/>
              <w:rPr>
                <w:i/>
                <w:lang w:eastAsia="en-US"/>
              </w:rPr>
            </w:pPr>
            <w:r w:rsidRPr="00217848">
              <w:rPr>
                <w:i/>
                <w:lang w:eastAsia="ja-JP"/>
              </w:rPr>
              <w:t>This Recommendation has relevance to WRC-</w:t>
            </w:r>
            <w:r>
              <w:rPr>
                <w:rFonts w:hint="eastAsia"/>
                <w:i/>
                <w:lang w:eastAsia="ja-JP"/>
              </w:rPr>
              <w:t xml:space="preserve">15 </w:t>
            </w:r>
            <w:r w:rsidRPr="00217848">
              <w:rPr>
                <w:i/>
                <w:lang w:eastAsia="ja-JP"/>
              </w:rPr>
              <w:t>agenda item 1.8.</w:t>
            </w:r>
          </w:p>
        </w:tc>
        <w:tc>
          <w:tcPr>
            <w:tcW w:w="1134" w:type="dxa"/>
          </w:tcPr>
          <w:p w:rsidR="00DD3B31" w:rsidRPr="004E5DFF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4E5DFF">
              <w:rPr>
                <w:lang w:eastAsia="en-US"/>
              </w:rPr>
              <w:t>NOC</w:t>
            </w:r>
          </w:p>
        </w:tc>
        <w:tc>
          <w:tcPr>
            <w:tcW w:w="1048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</w:tcPr>
          <w:p w:rsidR="00DD3B31" w:rsidRPr="004E5DFF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4E5DFF">
              <w:rPr>
                <w:lang w:eastAsia="en-US"/>
              </w:rPr>
              <w:t>63</w:t>
            </w:r>
          </w:p>
        </w:tc>
        <w:tc>
          <w:tcPr>
            <w:tcW w:w="4395" w:type="dxa"/>
          </w:tcPr>
          <w:p w:rsidR="00DD3B31" w:rsidRPr="004E5DFF" w:rsidRDefault="00DD3B31" w:rsidP="0017209B">
            <w:pPr>
              <w:pStyle w:val="TabletextChar"/>
              <w:rPr>
                <w:lang w:eastAsia="en-US"/>
              </w:rPr>
            </w:pPr>
            <w:r w:rsidRPr="004E5DFF">
              <w:rPr>
                <w:lang w:eastAsia="en-US"/>
              </w:rPr>
              <w:t>Calculation of necessary bandwidth</w:t>
            </w:r>
          </w:p>
        </w:tc>
        <w:tc>
          <w:tcPr>
            <w:tcW w:w="7229" w:type="dxa"/>
          </w:tcPr>
          <w:p w:rsidR="00DD3B31" w:rsidRPr="004E5DFF" w:rsidRDefault="00DD3B31" w:rsidP="0017209B">
            <w:pPr>
              <w:pStyle w:val="TabletextChar"/>
              <w:rPr>
                <w:rStyle w:val="FootnoteReference"/>
                <w:lang w:eastAsia="en-US"/>
              </w:rPr>
            </w:pPr>
            <w:r w:rsidRPr="004E5DFF">
              <w:rPr>
                <w:lang w:eastAsia="en-US"/>
              </w:rPr>
              <w:t>Still relevant (in the new context). Recommendation ITU</w:t>
            </w:r>
            <w:r w:rsidRPr="004E5DFF">
              <w:rPr>
                <w:lang w:eastAsia="en-US"/>
              </w:rPr>
              <w:noBreakHyphen/>
              <w:t>R SM.328-11 (approved 2006) in force; studies continue.</w:t>
            </w:r>
          </w:p>
        </w:tc>
        <w:tc>
          <w:tcPr>
            <w:tcW w:w="1134" w:type="dxa"/>
          </w:tcPr>
          <w:p w:rsidR="00DD3B31" w:rsidRPr="004E5DFF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4E5DFF">
              <w:rPr>
                <w:lang w:eastAsia="en-US"/>
              </w:rPr>
              <w:t>NOC</w:t>
            </w:r>
          </w:p>
        </w:tc>
        <w:tc>
          <w:tcPr>
            <w:tcW w:w="1048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</w:tcPr>
          <w:p w:rsidR="00DD3B31" w:rsidRPr="004E5DFF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4E5DFF">
              <w:rPr>
                <w:lang w:eastAsia="en-US"/>
              </w:rPr>
              <w:t>71</w:t>
            </w:r>
          </w:p>
        </w:tc>
        <w:tc>
          <w:tcPr>
            <w:tcW w:w="4395" w:type="dxa"/>
          </w:tcPr>
          <w:p w:rsidR="00DD3B31" w:rsidRPr="004E5DFF" w:rsidRDefault="00DD3B31" w:rsidP="0017209B">
            <w:pPr>
              <w:pStyle w:val="TabletextChar"/>
              <w:rPr>
                <w:lang w:eastAsia="ja-JP"/>
              </w:rPr>
            </w:pPr>
            <w:r w:rsidRPr="004E5DFF">
              <w:rPr>
                <w:lang w:eastAsia="en-US"/>
              </w:rPr>
              <w:t>Type approval</w:t>
            </w:r>
            <w:r w:rsidRPr="004E5DFF">
              <w:rPr>
                <w:lang w:eastAsia="ja-JP"/>
              </w:rPr>
              <w:t xml:space="preserve"> of radio equipment</w:t>
            </w:r>
          </w:p>
        </w:tc>
        <w:tc>
          <w:tcPr>
            <w:tcW w:w="7229" w:type="dxa"/>
          </w:tcPr>
          <w:p w:rsidR="00DD3B31" w:rsidRPr="004E5DFF" w:rsidRDefault="00DD3B31" w:rsidP="0017209B">
            <w:pPr>
              <w:pStyle w:val="TabletextChar"/>
              <w:rPr>
                <w:rStyle w:val="FootnoteReference"/>
                <w:lang w:eastAsia="en-US"/>
              </w:rPr>
            </w:pPr>
            <w:r w:rsidRPr="004E5DFF">
              <w:rPr>
                <w:lang w:eastAsia="en-US"/>
              </w:rPr>
              <w:t>Still relevant</w:t>
            </w:r>
          </w:p>
        </w:tc>
        <w:tc>
          <w:tcPr>
            <w:tcW w:w="1134" w:type="dxa"/>
          </w:tcPr>
          <w:p w:rsidR="00DD3B31" w:rsidRPr="004E5DFF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4E5DFF">
              <w:rPr>
                <w:lang w:eastAsia="en-US"/>
              </w:rPr>
              <w:t>NOC</w:t>
            </w:r>
          </w:p>
        </w:tc>
        <w:tc>
          <w:tcPr>
            <w:tcW w:w="1048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</w:tcPr>
          <w:p w:rsidR="00DD3B31" w:rsidRPr="004E5DFF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4E5DFF">
              <w:rPr>
                <w:lang w:eastAsia="en-US"/>
              </w:rPr>
              <w:t>75</w:t>
            </w:r>
          </w:p>
        </w:tc>
        <w:tc>
          <w:tcPr>
            <w:tcW w:w="4395" w:type="dxa"/>
          </w:tcPr>
          <w:p w:rsidR="00DD3B31" w:rsidRPr="004E5DFF" w:rsidRDefault="00DD3B31" w:rsidP="0017209B">
            <w:pPr>
              <w:pStyle w:val="TabletextChar"/>
              <w:rPr>
                <w:lang w:eastAsia="en-US"/>
              </w:rPr>
            </w:pPr>
            <w:r w:rsidRPr="004E5DFF">
              <w:rPr>
                <w:lang w:eastAsia="en-US"/>
              </w:rPr>
              <w:t>Study of boundary between out-of-band and spurious domains of primary radars using magnetrons</w:t>
            </w:r>
          </w:p>
        </w:tc>
        <w:tc>
          <w:tcPr>
            <w:tcW w:w="7229" w:type="dxa"/>
          </w:tcPr>
          <w:p w:rsidR="00DD3B31" w:rsidRPr="004E5DFF" w:rsidRDefault="00DD3B31" w:rsidP="0017209B">
            <w:pPr>
              <w:pStyle w:val="TabletextChar"/>
              <w:rPr>
                <w:rStyle w:val="FootnoteReference"/>
                <w:lang w:eastAsia="en-US"/>
              </w:rPr>
            </w:pPr>
            <w:r w:rsidRPr="004E5DFF">
              <w:rPr>
                <w:lang w:eastAsia="en-US"/>
              </w:rPr>
              <w:t xml:space="preserve">Still relevant; </w:t>
            </w:r>
            <w:proofErr w:type="spellStart"/>
            <w:r w:rsidRPr="004E5DFF">
              <w:rPr>
                <w:lang w:eastAsia="ja-JP"/>
              </w:rPr>
              <w:t>ongoing</w:t>
            </w:r>
            <w:proofErr w:type="spellEnd"/>
            <w:r w:rsidRPr="004E5DFF">
              <w:rPr>
                <w:lang w:eastAsia="ja-JP"/>
              </w:rPr>
              <w:t xml:space="preserve"> studies in ITU-R Study Group 1 to review </w:t>
            </w:r>
            <w:r w:rsidRPr="004E5DFF">
              <w:rPr>
                <w:lang w:eastAsia="en-US"/>
              </w:rPr>
              <w:t>Recommendation ITU</w:t>
            </w:r>
            <w:r w:rsidRPr="004E5DFF">
              <w:rPr>
                <w:lang w:eastAsia="en-US"/>
              </w:rPr>
              <w:noBreakHyphen/>
              <w:t>R SM.1541-</w:t>
            </w:r>
            <w:r w:rsidRPr="004E5DFF">
              <w:rPr>
                <w:lang w:eastAsia="ja-JP"/>
              </w:rPr>
              <w:t>3 and/or other texts.</w:t>
            </w:r>
          </w:p>
        </w:tc>
        <w:tc>
          <w:tcPr>
            <w:tcW w:w="1134" w:type="dxa"/>
          </w:tcPr>
          <w:p w:rsidR="00DD3B31" w:rsidRPr="004E5DFF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4E5DFF">
              <w:rPr>
                <w:lang w:eastAsia="en-US"/>
              </w:rPr>
              <w:t>NOC</w:t>
            </w:r>
          </w:p>
        </w:tc>
        <w:tc>
          <w:tcPr>
            <w:tcW w:w="1048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DD3B31" w:rsidRPr="004E5DFF" w:rsidRDefault="00DD3B31" w:rsidP="0017209B">
            <w:pPr>
              <w:pStyle w:val="TabletextChar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76</w:t>
            </w:r>
          </w:p>
        </w:tc>
        <w:tc>
          <w:tcPr>
            <w:tcW w:w="4395" w:type="dxa"/>
            <w:shd w:val="clear" w:color="auto" w:fill="auto"/>
          </w:tcPr>
          <w:p w:rsidR="00DD3B31" w:rsidRPr="004E5DFF" w:rsidRDefault="00DD3B31" w:rsidP="0017209B">
            <w:pPr>
              <w:pStyle w:val="TabletextChar"/>
              <w:rPr>
                <w:lang w:eastAsia="en-US"/>
              </w:rPr>
            </w:pPr>
            <w:r w:rsidRPr="004E5DFF">
              <w:rPr>
                <w:bCs/>
                <w:lang w:eastAsia="en-US"/>
              </w:rPr>
              <w:t>Deployment and use of cognitive radio systems</w:t>
            </w:r>
          </w:p>
        </w:tc>
        <w:tc>
          <w:tcPr>
            <w:tcW w:w="7229" w:type="dxa"/>
            <w:shd w:val="clear" w:color="auto" w:fill="auto"/>
          </w:tcPr>
          <w:p w:rsidR="00DD3B31" w:rsidRPr="004E5DFF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4E5DFF">
              <w:rPr>
                <w:lang w:eastAsia="en-US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DD3B31" w:rsidRPr="004E5DFF" w:rsidRDefault="00DD3B31" w:rsidP="0017209B">
            <w:pPr>
              <w:pStyle w:val="TabletextChar"/>
              <w:jc w:val="center"/>
              <w:rPr>
                <w:lang w:eastAsia="ja-JP"/>
              </w:rPr>
            </w:pPr>
            <w:r w:rsidRPr="004E5DFF">
              <w:rPr>
                <w:lang w:eastAsia="ja-JP"/>
              </w:rPr>
              <w:t>ADD</w:t>
            </w:r>
          </w:p>
        </w:tc>
        <w:tc>
          <w:tcPr>
            <w:tcW w:w="1048" w:type="dxa"/>
          </w:tcPr>
          <w:p w:rsidR="00DD3B31" w:rsidRPr="007A06A3" w:rsidRDefault="00DD3B31" w:rsidP="0017209B">
            <w:pPr>
              <w:pStyle w:val="TabletextChar"/>
              <w:jc w:val="center"/>
              <w:rPr>
                <w:color w:val="3333FF"/>
                <w:lang w:eastAsia="en-US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</w:tcPr>
          <w:p w:rsidR="00DD3B31" w:rsidRPr="004E5DFF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4E5DFF">
              <w:rPr>
                <w:lang w:eastAsia="en-US"/>
              </w:rPr>
              <w:t>100</w:t>
            </w:r>
          </w:p>
        </w:tc>
        <w:tc>
          <w:tcPr>
            <w:tcW w:w="4395" w:type="dxa"/>
          </w:tcPr>
          <w:p w:rsidR="00DD3B31" w:rsidRPr="004E5DFF" w:rsidRDefault="00DD3B31" w:rsidP="0017209B">
            <w:pPr>
              <w:pStyle w:val="TabletextChar"/>
              <w:rPr>
                <w:lang w:eastAsia="en-US"/>
              </w:rPr>
            </w:pPr>
            <w:r w:rsidRPr="004E5DFF">
              <w:rPr>
                <w:lang w:eastAsia="en-US"/>
              </w:rPr>
              <w:t xml:space="preserve">Bands for </w:t>
            </w:r>
            <w:proofErr w:type="spellStart"/>
            <w:r w:rsidRPr="004E5DFF">
              <w:rPr>
                <w:lang w:eastAsia="en-US"/>
              </w:rPr>
              <w:t>troposcatter</w:t>
            </w:r>
            <w:proofErr w:type="spellEnd"/>
          </w:p>
        </w:tc>
        <w:tc>
          <w:tcPr>
            <w:tcW w:w="7229" w:type="dxa"/>
          </w:tcPr>
          <w:p w:rsidR="00DD3B31" w:rsidRPr="004E5DFF" w:rsidRDefault="00DD3B31" w:rsidP="0017209B">
            <w:pPr>
              <w:pStyle w:val="TabletextChar"/>
              <w:rPr>
                <w:rStyle w:val="FootnoteReference"/>
                <w:lang w:eastAsia="en-US"/>
              </w:rPr>
            </w:pPr>
            <w:r w:rsidRPr="004E5DFF">
              <w:rPr>
                <w:lang w:eastAsia="en-US"/>
              </w:rPr>
              <w:t>Still relevant (updated at WRC-03).</w:t>
            </w:r>
          </w:p>
        </w:tc>
        <w:tc>
          <w:tcPr>
            <w:tcW w:w="1134" w:type="dxa"/>
          </w:tcPr>
          <w:p w:rsidR="00DD3B31" w:rsidRPr="004E5DFF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4E5DFF">
              <w:rPr>
                <w:lang w:eastAsia="en-US"/>
              </w:rPr>
              <w:t>NOC</w:t>
            </w:r>
          </w:p>
        </w:tc>
        <w:tc>
          <w:tcPr>
            <w:tcW w:w="1048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206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Char"/>
              <w:rPr>
                <w:lang w:eastAsia="ja-JP"/>
              </w:rPr>
            </w:pPr>
            <w:r w:rsidRPr="0097541B">
              <w:rPr>
                <w:lang w:eastAsia="ja-JP"/>
              </w:rPr>
              <w:t>Use of integrated MSS and ground component systems in some frequency bands identified for the satellite component of IMT</w:t>
            </w:r>
          </w:p>
        </w:tc>
        <w:tc>
          <w:tcPr>
            <w:tcW w:w="7229" w:type="dxa"/>
          </w:tcPr>
          <w:p w:rsidR="00DD3B31" w:rsidRPr="0097541B" w:rsidRDefault="00DD3B31" w:rsidP="0017209B">
            <w:pPr>
              <w:pStyle w:val="TabletextChar"/>
              <w:rPr>
                <w:lang w:eastAsia="ja-JP"/>
              </w:rPr>
            </w:pPr>
            <w:r w:rsidRPr="0097541B">
              <w:rPr>
                <w:lang w:eastAsia="ja-JP"/>
              </w:rPr>
              <w:t>The ITU-R study recommended in this Recommendation has made fair progress.</w:t>
            </w:r>
          </w:p>
        </w:tc>
        <w:tc>
          <w:tcPr>
            <w:tcW w:w="1134" w:type="dxa"/>
          </w:tcPr>
          <w:p w:rsidR="00DD3B31" w:rsidRPr="0097541B" w:rsidRDefault="00DD3B31" w:rsidP="0017209B">
            <w:pPr>
              <w:pStyle w:val="TabletextChar"/>
              <w:jc w:val="center"/>
              <w:rPr>
                <w:lang w:eastAsia="ja-JP"/>
              </w:rPr>
            </w:pPr>
            <w:r w:rsidRPr="0097541B">
              <w:rPr>
                <w:lang w:eastAsia="ja-JP"/>
              </w:rPr>
              <w:t>MOD</w:t>
            </w:r>
          </w:p>
        </w:tc>
        <w:tc>
          <w:tcPr>
            <w:tcW w:w="1048" w:type="dxa"/>
          </w:tcPr>
          <w:p w:rsidR="00DD3B31" w:rsidRDefault="00DD3B31" w:rsidP="0017209B">
            <w:pPr>
              <w:pStyle w:val="TabletextChar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207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rPr>
                <w:sz w:val="22"/>
                <w:szCs w:val="22"/>
              </w:rPr>
            </w:pPr>
            <w:r w:rsidRPr="0097541B">
              <w:rPr>
                <w:sz w:val="22"/>
                <w:szCs w:val="22"/>
              </w:rPr>
              <w:t>Future IMT systems</w:t>
            </w:r>
          </w:p>
        </w:tc>
        <w:tc>
          <w:tcPr>
            <w:tcW w:w="7229" w:type="dxa"/>
          </w:tcPr>
          <w:p w:rsidR="00DD3B31" w:rsidRPr="0097541B" w:rsidRDefault="00DD3B31" w:rsidP="0017209B">
            <w:pPr>
              <w:pStyle w:val="TabletextChar"/>
              <w:rPr>
                <w:lang w:eastAsia="ja-JP"/>
              </w:rPr>
            </w:pPr>
            <w:r w:rsidRPr="0097541B">
              <w:rPr>
                <w:lang w:eastAsia="ja-JP"/>
              </w:rPr>
              <w:t>The ITU-R study is commencing in the relevant group.</w:t>
            </w:r>
          </w:p>
        </w:tc>
        <w:tc>
          <w:tcPr>
            <w:tcW w:w="1134" w:type="dxa"/>
          </w:tcPr>
          <w:p w:rsidR="00DD3B31" w:rsidRPr="0097541B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97541B">
              <w:rPr>
                <w:lang w:eastAsia="ja-JP"/>
              </w:rPr>
              <w:t>NOC</w:t>
            </w:r>
          </w:p>
        </w:tc>
        <w:tc>
          <w:tcPr>
            <w:tcW w:w="1048" w:type="dxa"/>
          </w:tcPr>
          <w:p w:rsidR="00DD3B31" w:rsidRDefault="00DD3B31" w:rsidP="0017209B">
            <w:pPr>
              <w:pStyle w:val="TabletextChar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  <w:tcBorders>
              <w:bottom w:val="single" w:sz="6" w:space="0" w:color="auto"/>
            </w:tcBorders>
          </w:tcPr>
          <w:p w:rsidR="00DD3B31" w:rsidRPr="0097541B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97541B">
              <w:rPr>
                <w:lang w:eastAsia="en-US"/>
              </w:rPr>
              <w:t>316</w:t>
            </w:r>
          </w:p>
        </w:tc>
        <w:tc>
          <w:tcPr>
            <w:tcW w:w="4395" w:type="dxa"/>
            <w:tcBorders>
              <w:bottom w:val="single" w:sz="6" w:space="0" w:color="auto"/>
            </w:tcBorders>
          </w:tcPr>
          <w:p w:rsidR="00DD3B31" w:rsidRPr="0097541B" w:rsidRDefault="00DD3B31" w:rsidP="0017209B">
            <w:pPr>
              <w:pStyle w:val="TabletextChar"/>
              <w:rPr>
                <w:lang w:eastAsia="en-US"/>
              </w:rPr>
            </w:pPr>
            <w:r w:rsidRPr="0097541B">
              <w:rPr>
                <w:lang w:eastAsia="en-US"/>
              </w:rPr>
              <w:t xml:space="preserve">Use of </w:t>
            </w:r>
            <w:r w:rsidRPr="0097541B">
              <w:rPr>
                <w:lang w:eastAsia="ja-JP"/>
              </w:rPr>
              <w:t>ship earth stations</w:t>
            </w:r>
            <w:r w:rsidRPr="0097541B">
              <w:rPr>
                <w:lang w:eastAsia="en-US"/>
              </w:rPr>
              <w:t xml:space="preserve"> within harbours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:rsidR="00DD3B31" w:rsidRPr="0097541B" w:rsidRDefault="00DD3B31" w:rsidP="0017209B">
            <w:pPr>
              <w:pStyle w:val="TabletextChar"/>
              <w:rPr>
                <w:lang w:eastAsia="en-US"/>
              </w:rPr>
            </w:pPr>
            <w:r w:rsidRPr="0097541B">
              <w:rPr>
                <w:bCs/>
                <w:lang w:eastAsia="en-US"/>
              </w:rPr>
              <w:t>Some aspects still relevant.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2C2BBD">
              <w:rPr>
                <w:lang w:eastAsia="en-US"/>
              </w:rPr>
              <w:t>NOC</w:t>
            </w:r>
          </w:p>
        </w:tc>
        <w:tc>
          <w:tcPr>
            <w:tcW w:w="1048" w:type="dxa"/>
            <w:tcBorders>
              <w:bottom w:val="single" w:sz="6" w:space="0" w:color="auto"/>
            </w:tcBorders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</w:tcPr>
          <w:p w:rsidR="00DD3B31" w:rsidRPr="0097541B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97541B">
              <w:rPr>
                <w:lang w:eastAsia="en-US"/>
              </w:rPr>
              <w:t>401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Char"/>
              <w:ind w:left="110" w:hangingChars="50" w:hanging="110"/>
              <w:rPr>
                <w:lang w:eastAsia="en-US"/>
              </w:rPr>
            </w:pPr>
            <w:r w:rsidRPr="0097541B">
              <w:rPr>
                <w:lang w:eastAsia="en-US"/>
              </w:rPr>
              <w:t xml:space="preserve">Use of </w:t>
            </w:r>
            <w:r w:rsidRPr="0097541B">
              <w:rPr>
                <w:lang w:eastAsia="ja-JP"/>
              </w:rPr>
              <w:t>aeronautical mobile</w:t>
            </w:r>
            <w:r w:rsidRPr="0097541B">
              <w:rPr>
                <w:lang w:eastAsia="en-US"/>
              </w:rPr>
              <w:t xml:space="preserve"> worldwide frequencies</w:t>
            </w:r>
          </w:p>
        </w:tc>
        <w:tc>
          <w:tcPr>
            <w:tcW w:w="7229" w:type="dxa"/>
          </w:tcPr>
          <w:p w:rsidR="00DD3B31" w:rsidRPr="0097541B" w:rsidRDefault="00DD3B31" w:rsidP="0017209B">
            <w:pPr>
              <w:pStyle w:val="TabletextChar"/>
              <w:rPr>
                <w:lang w:eastAsia="en-US"/>
              </w:rPr>
            </w:pPr>
            <w:r w:rsidRPr="0097541B">
              <w:rPr>
                <w:lang w:eastAsia="en-US"/>
              </w:rPr>
              <w:t>Although this Recommendation contains useful suggestions to administrations, it is observed only by a few administrations</w:t>
            </w:r>
            <w:r w:rsidRPr="0097541B">
              <w:rPr>
                <w:lang w:eastAsia="ja-JP"/>
              </w:rPr>
              <w:t>.</w:t>
            </w:r>
          </w:p>
        </w:tc>
        <w:tc>
          <w:tcPr>
            <w:tcW w:w="1134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2C2BBD">
              <w:rPr>
                <w:lang w:eastAsia="en-US"/>
              </w:rPr>
              <w:t>NOC</w:t>
            </w:r>
          </w:p>
        </w:tc>
        <w:tc>
          <w:tcPr>
            <w:tcW w:w="1048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</w:tcPr>
          <w:p w:rsidR="00DD3B31" w:rsidRPr="0097541B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97541B">
              <w:rPr>
                <w:lang w:eastAsia="en-US"/>
              </w:rPr>
              <w:t>503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Char"/>
              <w:rPr>
                <w:lang w:eastAsia="en-US"/>
              </w:rPr>
            </w:pPr>
            <w:r w:rsidRPr="0097541B">
              <w:rPr>
                <w:lang w:eastAsia="en-US"/>
              </w:rPr>
              <w:t>HFBC</w:t>
            </w:r>
          </w:p>
        </w:tc>
        <w:tc>
          <w:tcPr>
            <w:tcW w:w="7229" w:type="dxa"/>
          </w:tcPr>
          <w:p w:rsidR="00DD3B31" w:rsidRPr="0097541B" w:rsidRDefault="00DD3B31" w:rsidP="0017209B">
            <w:pPr>
              <w:pStyle w:val="TabletextChar"/>
              <w:rPr>
                <w:rStyle w:val="FootnoteReference"/>
                <w:color w:val="000000"/>
                <w:lang w:eastAsia="en-US"/>
              </w:rPr>
            </w:pPr>
            <w:r w:rsidRPr="0097541B">
              <w:rPr>
                <w:lang w:eastAsia="en-US"/>
              </w:rPr>
              <w:t>Still relevant</w:t>
            </w:r>
          </w:p>
        </w:tc>
        <w:tc>
          <w:tcPr>
            <w:tcW w:w="1134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2C2BBD">
              <w:rPr>
                <w:lang w:eastAsia="en-US"/>
              </w:rPr>
              <w:t>NOC</w:t>
            </w:r>
          </w:p>
        </w:tc>
        <w:tc>
          <w:tcPr>
            <w:tcW w:w="1048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</w:tcPr>
          <w:p w:rsidR="00DD3B31" w:rsidRPr="0097541B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97541B">
              <w:rPr>
                <w:lang w:eastAsia="en-US"/>
              </w:rPr>
              <w:t>506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Char"/>
              <w:rPr>
                <w:lang w:eastAsia="en-US"/>
              </w:rPr>
            </w:pPr>
            <w:r w:rsidRPr="0097541B">
              <w:rPr>
                <w:lang w:eastAsia="en-US"/>
              </w:rPr>
              <w:t xml:space="preserve">Harmonics in </w:t>
            </w:r>
            <w:r w:rsidRPr="0097541B">
              <w:rPr>
                <w:lang w:eastAsia="ja-JP"/>
              </w:rPr>
              <w:t>broadcasting-satellite stations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:rsidR="00DD3B31" w:rsidRPr="0097541B" w:rsidRDefault="00DD3B31" w:rsidP="0017209B">
            <w:pPr>
              <w:pStyle w:val="TabletextChar"/>
              <w:rPr>
                <w:lang w:eastAsia="en-US"/>
              </w:rPr>
            </w:pPr>
            <w:r w:rsidRPr="0097541B">
              <w:rPr>
                <w:lang w:eastAsia="en-US"/>
              </w:rPr>
              <w:t>Still relevant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2C2BBD">
              <w:rPr>
                <w:lang w:eastAsia="en-US"/>
              </w:rPr>
              <w:t>NOC</w:t>
            </w:r>
          </w:p>
        </w:tc>
        <w:tc>
          <w:tcPr>
            <w:tcW w:w="1048" w:type="dxa"/>
            <w:tcBorders>
              <w:bottom w:val="single" w:sz="6" w:space="0" w:color="auto"/>
            </w:tcBorders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</w:tcPr>
          <w:p w:rsidR="00DD3B31" w:rsidRPr="0097541B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97541B">
              <w:rPr>
                <w:lang w:eastAsia="en-US"/>
              </w:rPr>
              <w:t>520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Char"/>
              <w:rPr>
                <w:lang w:eastAsia="en-US"/>
              </w:rPr>
            </w:pPr>
            <w:r w:rsidRPr="0097541B">
              <w:rPr>
                <w:lang w:eastAsia="en-US"/>
              </w:rPr>
              <w:t>Elimination of out-of-band HFBC emissions</w:t>
            </w:r>
          </w:p>
        </w:tc>
        <w:tc>
          <w:tcPr>
            <w:tcW w:w="7229" w:type="dxa"/>
          </w:tcPr>
          <w:p w:rsidR="00DD3B31" w:rsidRPr="0097541B" w:rsidRDefault="00DD3B31" w:rsidP="0017209B">
            <w:pPr>
              <w:pStyle w:val="TabletextChar"/>
              <w:rPr>
                <w:rStyle w:val="FootnoteReference"/>
                <w:color w:val="000000"/>
                <w:lang w:eastAsia="en-US"/>
              </w:rPr>
            </w:pPr>
            <w:r w:rsidRPr="0097541B">
              <w:rPr>
                <w:lang w:eastAsia="en-US"/>
              </w:rPr>
              <w:t>Still relevant</w:t>
            </w:r>
          </w:p>
        </w:tc>
        <w:tc>
          <w:tcPr>
            <w:tcW w:w="1134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2C2BBD">
              <w:rPr>
                <w:lang w:eastAsia="en-US"/>
              </w:rPr>
              <w:t>NOC</w:t>
            </w:r>
          </w:p>
        </w:tc>
        <w:tc>
          <w:tcPr>
            <w:tcW w:w="1048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</w:tcPr>
          <w:p w:rsidR="00DD3B31" w:rsidRPr="0097541B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97541B">
              <w:rPr>
                <w:lang w:eastAsia="en-US"/>
              </w:rPr>
              <w:t>522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Char"/>
              <w:rPr>
                <w:lang w:eastAsia="en-US"/>
              </w:rPr>
            </w:pPr>
            <w:r w:rsidRPr="0097541B">
              <w:rPr>
                <w:lang w:eastAsia="en-US"/>
              </w:rPr>
              <w:t>Coordination of HFBC schedules</w:t>
            </w:r>
            <w:r w:rsidRPr="0097541B">
              <w:rPr>
                <w:lang w:eastAsia="ja-JP"/>
              </w:rPr>
              <w:t xml:space="preserve"> in the bands between 5 900 kHz and 26 100 kHz</w:t>
            </w:r>
          </w:p>
        </w:tc>
        <w:tc>
          <w:tcPr>
            <w:tcW w:w="7229" w:type="dxa"/>
          </w:tcPr>
          <w:p w:rsidR="00DD3B31" w:rsidRPr="0097541B" w:rsidRDefault="00DD3B31" w:rsidP="0017209B">
            <w:pPr>
              <w:pStyle w:val="TabletextChar"/>
              <w:rPr>
                <w:rStyle w:val="FootnoteReference"/>
                <w:color w:val="000000"/>
                <w:lang w:eastAsia="en-US"/>
              </w:rPr>
            </w:pPr>
            <w:r w:rsidRPr="0097541B">
              <w:rPr>
                <w:lang w:eastAsia="en-US"/>
              </w:rPr>
              <w:t>Still relevant</w:t>
            </w:r>
          </w:p>
        </w:tc>
        <w:tc>
          <w:tcPr>
            <w:tcW w:w="1134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2C2BBD">
              <w:rPr>
                <w:lang w:eastAsia="en-US"/>
              </w:rPr>
              <w:t>NOC</w:t>
            </w:r>
          </w:p>
        </w:tc>
        <w:tc>
          <w:tcPr>
            <w:tcW w:w="1048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</w:tcPr>
          <w:p w:rsidR="00DD3B31" w:rsidRPr="0097541B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97541B">
              <w:rPr>
                <w:lang w:eastAsia="en-US"/>
              </w:rPr>
              <w:t>608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rPr>
                <w:sz w:val="22"/>
                <w:szCs w:val="22"/>
              </w:rPr>
            </w:pPr>
            <w:r w:rsidRPr="0097541B">
              <w:rPr>
                <w:sz w:val="22"/>
                <w:szCs w:val="22"/>
              </w:rPr>
              <w:t>Guidelines for consultation meetings established in Resolution 609</w:t>
            </w:r>
          </w:p>
        </w:tc>
        <w:tc>
          <w:tcPr>
            <w:tcW w:w="7229" w:type="dxa"/>
          </w:tcPr>
          <w:p w:rsidR="00DD3B31" w:rsidRPr="0097541B" w:rsidRDefault="00DD3B31" w:rsidP="0017209B">
            <w:pPr>
              <w:pStyle w:val="TabletextChar"/>
              <w:rPr>
                <w:lang w:eastAsia="en-US"/>
              </w:rPr>
            </w:pPr>
            <w:r w:rsidRPr="0097541B">
              <w:rPr>
                <w:lang w:eastAsia="en-US"/>
              </w:rPr>
              <w:t>Still relevant</w:t>
            </w:r>
            <w:r w:rsidRPr="0097541B">
              <w:rPr>
                <w:lang w:eastAsia="ja-JP"/>
              </w:rPr>
              <w:t>. This Recommendation is referred to in Resolution</w:t>
            </w:r>
            <w:r w:rsidRPr="00030EF2">
              <w:rPr>
                <w:b/>
                <w:bCs/>
                <w:lang w:eastAsia="ja-JP"/>
              </w:rPr>
              <w:t>609</w:t>
            </w:r>
            <w:r w:rsidRPr="0097541B">
              <w:rPr>
                <w:lang w:eastAsia="ja-JP"/>
              </w:rPr>
              <w:t>(</w:t>
            </w:r>
            <w:r w:rsidRPr="00030EF2">
              <w:rPr>
                <w:b/>
                <w:lang w:eastAsia="ja-JP"/>
              </w:rPr>
              <w:t>Rev.WRC-07</w:t>
            </w:r>
            <w:r w:rsidRPr="0097541B">
              <w:rPr>
                <w:lang w:eastAsia="ja-JP"/>
              </w:rPr>
              <w:t>).</w:t>
            </w:r>
          </w:p>
        </w:tc>
        <w:tc>
          <w:tcPr>
            <w:tcW w:w="1134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NOC</w:t>
            </w:r>
          </w:p>
        </w:tc>
        <w:tc>
          <w:tcPr>
            <w:tcW w:w="1048" w:type="dxa"/>
          </w:tcPr>
          <w:p w:rsidR="00DD3B31" w:rsidRDefault="00DD3B31" w:rsidP="0017209B">
            <w:pPr>
              <w:pStyle w:val="TabletextChar"/>
              <w:jc w:val="center"/>
              <w:rPr>
                <w:lang w:eastAsia="ja-JP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  <w:tcBorders>
              <w:bottom w:val="single" w:sz="6" w:space="0" w:color="auto"/>
            </w:tcBorders>
          </w:tcPr>
          <w:p w:rsidR="00DD3B31" w:rsidRPr="0097541B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97541B">
              <w:rPr>
                <w:lang w:eastAsia="en-US"/>
              </w:rPr>
              <w:t>622</w:t>
            </w:r>
          </w:p>
        </w:tc>
        <w:tc>
          <w:tcPr>
            <w:tcW w:w="4395" w:type="dxa"/>
            <w:tcBorders>
              <w:bottom w:val="single" w:sz="6" w:space="0" w:color="auto"/>
            </w:tcBorders>
          </w:tcPr>
          <w:p w:rsidR="00DD3B31" w:rsidRPr="0097541B" w:rsidRDefault="00DD3B31" w:rsidP="0017209B">
            <w:pPr>
              <w:pStyle w:val="TabletextChar"/>
              <w:rPr>
                <w:lang w:eastAsia="ja-JP"/>
              </w:rPr>
            </w:pPr>
            <w:r w:rsidRPr="0097541B">
              <w:rPr>
                <w:lang w:eastAsia="en-US"/>
              </w:rPr>
              <w:t>Sharing of bands 2 025-2 110 MHz and 2 200-2 290 MHz</w:t>
            </w:r>
            <w:r w:rsidRPr="0097541B">
              <w:rPr>
                <w:lang w:eastAsia="ja-JP"/>
              </w:rPr>
              <w:t xml:space="preserve"> by the SR, SO, EESS, FS and MS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:rsidR="00DD3B31" w:rsidRPr="0097541B" w:rsidRDefault="00DD3B31" w:rsidP="0017209B">
            <w:pPr>
              <w:pStyle w:val="TabletextChar"/>
              <w:rPr>
                <w:lang w:eastAsia="en-US"/>
              </w:rPr>
            </w:pPr>
            <w:r w:rsidRPr="0097541B">
              <w:rPr>
                <w:lang w:eastAsia="en-US"/>
              </w:rPr>
              <w:t>Still relevant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2C2BBD">
              <w:rPr>
                <w:lang w:eastAsia="en-US"/>
              </w:rPr>
              <w:t>NOC</w:t>
            </w:r>
          </w:p>
        </w:tc>
        <w:tc>
          <w:tcPr>
            <w:tcW w:w="1048" w:type="dxa"/>
            <w:tcBorders>
              <w:bottom w:val="single" w:sz="6" w:space="0" w:color="auto"/>
            </w:tcBorders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</w:tcPr>
          <w:p w:rsidR="00DD3B31" w:rsidRPr="0097541B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97541B">
              <w:rPr>
                <w:lang w:eastAsia="en-US"/>
              </w:rPr>
              <w:t>707</w:t>
            </w:r>
          </w:p>
        </w:tc>
        <w:tc>
          <w:tcPr>
            <w:tcW w:w="4395" w:type="dxa"/>
          </w:tcPr>
          <w:p w:rsidR="00DD3B31" w:rsidRPr="0097541B" w:rsidRDefault="00DD3B31" w:rsidP="0017209B">
            <w:pPr>
              <w:pStyle w:val="TabletextChar"/>
              <w:rPr>
                <w:lang w:eastAsia="en-US"/>
              </w:rPr>
            </w:pPr>
            <w:r w:rsidRPr="0097541B">
              <w:rPr>
                <w:lang w:eastAsia="en-US"/>
              </w:rPr>
              <w:t xml:space="preserve">Sharing </w:t>
            </w:r>
            <w:r w:rsidRPr="0097541B">
              <w:rPr>
                <w:lang w:eastAsia="ja-JP"/>
              </w:rPr>
              <w:t xml:space="preserve">between the inter-satellite service and the </w:t>
            </w:r>
            <w:proofErr w:type="spellStart"/>
            <w:r w:rsidRPr="0097541B">
              <w:rPr>
                <w:lang w:eastAsia="ja-JP"/>
              </w:rPr>
              <w:t>radionavigation</w:t>
            </w:r>
            <w:proofErr w:type="spellEnd"/>
            <w:r w:rsidRPr="0097541B">
              <w:rPr>
                <w:lang w:eastAsia="ja-JP"/>
              </w:rPr>
              <w:t xml:space="preserve"> service </w:t>
            </w:r>
            <w:r w:rsidRPr="0097541B">
              <w:rPr>
                <w:lang w:eastAsia="en-US"/>
              </w:rPr>
              <w:t xml:space="preserve">in </w:t>
            </w:r>
            <w:r w:rsidRPr="0097541B">
              <w:rPr>
                <w:lang w:eastAsia="ja-JP"/>
              </w:rPr>
              <w:t xml:space="preserve">the band </w:t>
            </w:r>
            <w:r w:rsidRPr="0097541B">
              <w:rPr>
                <w:lang w:eastAsia="en-US"/>
              </w:rPr>
              <w:t>32-33 GHz</w:t>
            </w:r>
          </w:p>
        </w:tc>
        <w:tc>
          <w:tcPr>
            <w:tcW w:w="7229" w:type="dxa"/>
          </w:tcPr>
          <w:p w:rsidR="00DD3B31" w:rsidRPr="0097541B" w:rsidRDefault="00DD3B31" w:rsidP="0017209B">
            <w:pPr>
              <w:pStyle w:val="TabletextChar"/>
              <w:rPr>
                <w:lang w:eastAsia="en-US"/>
              </w:rPr>
            </w:pPr>
            <w:r w:rsidRPr="0097541B">
              <w:rPr>
                <w:lang w:eastAsia="en-US"/>
              </w:rPr>
              <w:t xml:space="preserve">Still relevant, </w:t>
            </w:r>
            <w:proofErr w:type="spellStart"/>
            <w:r w:rsidRPr="0097541B">
              <w:rPr>
                <w:lang w:eastAsia="en-US"/>
              </w:rPr>
              <w:t>ongoing</w:t>
            </w:r>
            <w:proofErr w:type="spellEnd"/>
            <w:r w:rsidRPr="0097541B">
              <w:rPr>
                <w:lang w:eastAsia="en-US"/>
              </w:rPr>
              <w:t xml:space="preserve"> studies with a view to present results to a future WRC. Recommendation ITU</w:t>
            </w:r>
            <w:r w:rsidRPr="0097541B">
              <w:rPr>
                <w:lang w:eastAsia="en-US"/>
              </w:rPr>
              <w:noBreakHyphen/>
              <w:t xml:space="preserve">R S.1151 in </w:t>
            </w:r>
            <w:proofErr w:type="spellStart"/>
            <w:r w:rsidRPr="0097541B">
              <w:rPr>
                <w:lang w:eastAsia="en-US"/>
              </w:rPr>
              <w:t>force.This</w:t>
            </w:r>
            <w:proofErr w:type="spellEnd"/>
            <w:r w:rsidRPr="0097541B">
              <w:rPr>
                <w:lang w:eastAsia="en-US"/>
              </w:rPr>
              <w:t xml:space="preserve"> Recommendation is referred to in No. </w:t>
            </w:r>
            <w:r w:rsidRPr="0097541B">
              <w:rPr>
                <w:b/>
                <w:lang w:eastAsia="en-US"/>
              </w:rPr>
              <w:t>5.548</w:t>
            </w:r>
            <w:r w:rsidRPr="0097541B"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  <w:r w:rsidRPr="002C2BBD">
              <w:rPr>
                <w:lang w:eastAsia="en-US"/>
              </w:rPr>
              <w:t>NOC</w:t>
            </w:r>
          </w:p>
        </w:tc>
        <w:tc>
          <w:tcPr>
            <w:tcW w:w="1048" w:type="dxa"/>
          </w:tcPr>
          <w:p w:rsidR="00DD3B31" w:rsidRPr="002C2BBD" w:rsidRDefault="00DD3B31" w:rsidP="0017209B">
            <w:pPr>
              <w:pStyle w:val="TabletextChar"/>
              <w:jc w:val="center"/>
              <w:rPr>
                <w:lang w:eastAsia="en-US"/>
              </w:rPr>
            </w:pPr>
          </w:p>
        </w:tc>
      </w:tr>
      <w:tr w:rsidR="00DD3B31" w:rsidRPr="002C2BBD" w:rsidTr="0017209B">
        <w:trPr>
          <w:cantSplit/>
          <w:jc w:val="center"/>
        </w:trPr>
        <w:tc>
          <w:tcPr>
            <w:tcW w:w="924" w:type="dxa"/>
            <w:tcBorders>
              <w:bottom w:val="single" w:sz="6" w:space="0" w:color="auto"/>
            </w:tcBorders>
          </w:tcPr>
          <w:p w:rsidR="00DD3B31" w:rsidRPr="0097541B" w:rsidRDefault="00DD3B31" w:rsidP="0017209B">
            <w:pPr>
              <w:pStyle w:val="TabletextChar"/>
              <w:jc w:val="center"/>
              <w:rPr>
                <w:lang w:eastAsia="ja-JP"/>
              </w:rPr>
            </w:pPr>
            <w:r w:rsidRPr="0097541B">
              <w:rPr>
                <w:lang w:eastAsia="en-US"/>
              </w:rPr>
              <w:t>72</w:t>
            </w:r>
            <w:r w:rsidRPr="0097541B">
              <w:rPr>
                <w:lang w:eastAsia="ja-JP"/>
              </w:rPr>
              <w:t>4</w:t>
            </w:r>
          </w:p>
        </w:tc>
        <w:tc>
          <w:tcPr>
            <w:tcW w:w="4395" w:type="dxa"/>
            <w:tcBorders>
              <w:bottom w:val="single" w:sz="6" w:space="0" w:color="auto"/>
            </w:tcBorders>
          </w:tcPr>
          <w:p w:rsidR="00DD3B31" w:rsidRPr="0097541B" w:rsidRDefault="00DD3B31" w:rsidP="0017209B">
            <w:pPr>
              <w:rPr>
                <w:sz w:val="22"/>
                <w:szCs w:val="22"/>
              </w:rPr>
            </w:pPr>
            <w:r w:rsidRPr="0097541B">
              <w:rPr>
                <w:sz w:val="22"/>
                <w:szCs w:val="22"/>
              </w:rPr>
              <w:t>Use by civil aviation of frequency allocations on a primary basis to the fixed-satellite service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:rsidR="00DD3B31" w:rsidRPr="0097541B" w:rsidRDefault="00DD3B31" w:rsidP="0017209B">
            <w:pPr>
              <w:pStyle w:val="TabletextChar"/>
              <w:rPr>
                <w:lang w:eastAsia="ja-JP"/>
              </w:rPr>
            </w:pPr>
            <w:r w:rsidRPr="0097541B">
              <w:rPr>
                <w:lang w:eastAsia="en-US"/>
              </w:rPr>
              <w:t>Still relevant.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D3B31" w:rsidRPr="00D16FA6" w:rsidRDefault="00DD3B31" w:rsidP="0017209B">
            <w:pPr>
              <w:pStyle w:val="TabletextChar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NOC</w:t>
            </w:r>
          </w:p>
        </w:tc>
        <w:tc>
          <w:tcPr>
            <w:tcW w:w="1048" w:type="dxa"/>
            <w:tcBorders>
              <w:bottom w:val="single" w:sz="6" w:space="0" w:color="auto"/>
            </w:tcBorders>
          </w:tcPr>
          <w:p w:rsidR="00DD3B31" w:rsidRDefault="00DD3B31" w:rsidP="0017209B">
            <w:pPr>
              <w:pStyle w:val="TabletextChar"/>
              <w:jc w:val="center"/>
              <w:rPr>
                <w:lang w:eastAsia="ja-JP"/>
              </w:rPr>
            </w:pPr>
          </w:p>
        </w:tc>
      </w:tr>
    </w:tbl>
    <w:p w:rsidR="00DD3B31" w:rsidRPr="00B92431" w:rsidRDefault="00DD3B31" w:rsidP="00DD3B31">
      <w:pPr>
        <w:rPr>
          <w:b/>
          <w:color w:val="000000"/>
        </w:rPr>
      </w:pPr>
    </w:p>
    <w:p w:rsidR="00864ABB" w:rsidRDefault="00864ABB" w:rsidP="0054344C">
      <w:pPr>
        <w:autoSpaceDE w:val="0"/>
        <w:autoSpaceDN w:val="0"/>
        <w:adjustRightInd w:val="0"/>
        <w:rPr>
          <w:rFonts w:eastAsia="Batang"/>
        </w:rPr>
      </w:pPr>
    </w:p>
    <w:p w:rsidR="00BA72FF" w:rsidRDefault="00BA72FF" w:rsidP="009A4A6D">
      <w:pPr>
        <w:jc w:val="center"/>
      </w:pPr>
      <w:r>
        <w:t>__________</w:t>
      </w:r>
    </w:p>
    <w:sectPr w:rsidR="00BA72FF" w:rsidSect="00AA2AD2">
      <w:headerReference w:type="default" r:id="rId14"/>
      <w:footerReference w:type="even" r:id="rId15"/>
      <w:footerReference w:type="default" r:id="rId16"/>
      <w:footerReference w:type="first" r:id="rId17"/>
      <w:pgSz w:w="16834" w:h="11909" w:orient="landscape" w:code="9"/>
      <w:pgMar w:top="1440" w:right="1195" w:bottom="1152" w:left="1138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65" w:rsidRDefault="007E2765">
      <w:r>
        <w:separator/>
      </w:r>
    </w:p>
  </w:endnote>
  <w:endnote w:type="continuationSeparator" w:id="0">
    <w:p w:rsidR="007E2765" w:rsidRDefault="007E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4C" w:rsidRDefault="0054344C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344C" w:rsidRDefault="0054344C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4C" w:rsidRDefault="0054344C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61286A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61286A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54344C" w:rsidRPr="00376FE6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54344C" w:rsidRPr="00376FE6" w:rsidRDefault="0054344C" w:rsidP="00376FE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376FE6" w:rsidRPr="00376FE6" w:rsidRDefault="00376FE6" w:rsidP="00376FE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 w:line="240" w:lineRule="auto"/>
            <w:rPr>
              <w:rFonts w:eastAsia="Batang"/>
              <w:szCs w:val="24"/>
              <w:lang w:eastAsia="ko-KR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54344C" w:rsidRPr="00376FE6" w:rsidRDefault="0054344C" w:rsidP="00376FE6">
          <w:pPr>
            <w:rPr>
              <w:rFonts w:eastAsia="MS Mincho"/>
              <w:lang w:eastAsia="ja-JP"/>
            </w:rPr>
          </w:pPr>
        </w:p>
      </w:tc>
    </w:tr>
  </w:tbl>
  <w:p w:rsidR="0054344C" w:rsidRDefault="0054344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61286A">
      <w:rPr>
        <w:rStyle w:val="PageNumber"/>
        <w:noProof/>
      </w:rPr>
      <w:t>21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61286A">
      <w:rPr>
        <w:rStyle w:val="PageNumber"/>
        <w:noProof/>
      </w:rPr>
      <w:t>21</w:t>
    </w:r>
    <w:r w:rsidRPr="002C7EA9"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65" w:rsidRDefault="007E2765">
      <w:r>
        <w:separator/>
      </w:r>
    </w:p>
  </w:footnote>
  <w:footnote w:type="continuationSeparator" w:id="0">
    <w:p w:rsidR="007E2765" w:rsidRDefault="007E2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4C" w:rsidRDefault="0054344C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98C3F16"/>
    <w:multiLevelType w:val="hybridMultilevel"/>
    <w:tmpl w:val="E0DE2F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3025F24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MS Gothic" w:eastAsia="MS Gothic" w:hAnsi="MS Gothic" w:cs="Times New Roman" w:hint="eastAsia"/>
      </w:rPr>
    </w:lvl>
    <w:lvl w:ilvl="2" w:tplc="B392654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1F2C05C9"/>
    <w:multiLevelType w:val="multilevel"/>
    <w:tmpl w:val="616E552C"/>
    <w:lvl w:ilvl="0">
      <w:start w:val="3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4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22542533"/>
    <w:multiLevelType w:val="hybridMultilevel"/>
    <w:tmpl w:val="F050B0E4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"/>
      <w:lvlText w:val="%2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26653229"/>
    <w:multiLevelType w:val="hybridMultilevel"/>
    <w:tmpl w:val="331060E4"/>
    <w:lvl w:ilvl="0" w:tplc="7F24E4F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C671D1"/>
    <w:multiLevelType w:val="multilevel"/>
    <w:tmpl w:val="5A1EC7E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9">
    <w:nsid w:val="29B36976"/>
    <w:multiLevelType w:val="hybridMultilevel"/>
    <w:tmpl w:val="FAA63EC0"/>
    <w:lvl w:ilvl="0" w:tplc="4EB6F24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2">
    <w:nsid w:val="3239644C"/>
    <w:multiLevelType w:val="multilevel"/>
    <w:tmpl w:val="0BD65238"/>
    <w:lvl w:ilvl="0">
      <w:start w:val="2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3">
    <w:nsid w:val="323D1765"/>
    <w:multiLevelType w:val="hybridMultilevel"/>
    <w:tmpl w:val="2EA6011C"/>
    <w:lvl w:ilvl="0" w:tplc="FFFFFFFF">
      <w:start w:val="10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>
    <w:nsid w:val="36B63273"/>
    <w:multiLevelType w:val="hybridMultilevel"/>
    <w:tmpl w:val="48042A76"/>
    <w:lvl w:ilvl="0" w:tplc="10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377E1D7A"/>
    <w:multiLevelType w:val="hybridMultilevel"/>
    <w:tmpl w:val="7FCC41A0"/>
    <w:lvl w:ilvl="0" w:tplc="AE8485B2">
      <w:start w:val="7000"/>
      <w:numFmt w:val="bullet"/>
      <w:lvlText w:val="・"/>
      <w:lvlJc w:val="left"/>
      <w:pPr>
        <w:tabs>
          <w:tab w:val="num" w:pos="627"/>
        </w:tabs>
        <w:ind w:left="627" w:hanging="360"/>
      </w:pPr>
      <w:rPr>
        <w:rFonts w:ascii="MS Gothic" w:eastAsia="MS Gothic" w:hAnsi="MS Gothic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8">
    <w:nsid w:val="396E5E2D"/>
    <w:multiLevelType w:val="hybridMultilevel"/>
    <w:tmpl w:val="57060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822F84"/>
    <w:multiLevelType w:val="hybridMultilevel"/>
    <w:tmpl w:val="1388A1BA"/>
    <w:lvl w:ilvl="0" w:tplc="C37845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F0E5503"/>
    <w:multiLevelType w:val="multilevel"/>
    <w:tmpl w:val="BDA88C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F965AD4"/>
    <w:multiLevelType w:val="hybridMultilevel"/>
    <w:tmpl w:val="1A4AE8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0851E7F"/>
    <w:multiLevelType w:val="hybridMultilevel"/>
    <w:tmpl w:val="F3BC0A64"/>
    <w:lvl w:ilvl="0" w:tplc="FFFFFFFF">
      <w:start w:val="1670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MS Gothic" w:eastAsia="MS Gothic" w:hAnsi="Arial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>
    <w:nsid w:val="60EA3A45"/>
    <w:multiLevelType w:val="multilevel"/>
    <w:tmpl w:val="7728A6B6"/>
    <w:lvl w:ilvl="0">
      <w:start w:val="2"/>
      <w:numFmt w:val="decimalFullWidth"/>
      <w:lvlText w:val="（%1．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>
      <w:start w:val="2"/>
      <w:numFmt w:val="decimalFullWidth"/>
      <w:lvlText w:val="（%1．%2）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2">
      <w:start w:val="1"/>
      <w:numFmt w:val="decimal"/>
      <w:lvlText w:val="（%1．%2）%3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3">
      <w:start w:val="1"/>
      <w:numFmt w:val="decimal"/>
      <w:lvlText w:val="（%1．%2）%3.%4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4">
      <w:start w:val="1"/>
      <w:numFmt w:val="decimal"/>
      <w:lvlText w:val="（%1．%2）%3.%4.%5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5">
      <w:start w:val="1"/>
      <w:numFmt w:val="decimal"/>
      <w:lvlText w:val="（%1．%2）%3.%4.%5.%6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6">
      <w:start w:val="1"/>
      <w:numFmt w:val="decimal"/>
      <w:lvlText w:val="（%1．%2）%3.%4.%5.%6.%7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7">
      <w:start w:val="1"/>
      <w:numFmt w:val="decimal"/>
      <w:lvlText w:val="（%1．%2）%3.%4.%5.%6.%7.%8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8">
      <w:start w:val="1"/>
      <w:numFmt w:val="decimal"/>
      <w:lvlText w:val="（%1．%2）%3.%4.%5.%6.%7.%8.%9.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4">
    <w:nsid w:val="6B380398"/>
    <w:multiLevelType w:val="hybridMultilevel"/>
    <w:tmpl w:val="C6D68EBA"/>
    <w:lvl w:ilvl="0" w:tplc="FFFFFFFF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C971888"/>
    <w:multiLevelType w:val="hybridMultilevel"/>
    <w:tmpl w:val="591AA23C"/>
    <w:lvl w:ilvl="0" w:tplc="FFFFFFFF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26"/>
  </w:num>
  <w:num w:numId="5">
    <w:abstractNumId w:val="11"/>
  </w:num>
  <w:num w:numId="6">
    <w:abstractNumId w:val="16"/>
  </w:num>
  <w:num w:numId="7">
    <w:abstractNumId w:val="2"/>
  </w:num>
  <w:num w:numId="8">
    <w:abstractNumId w:val="0"/>
  </w:num>
  <w:num w:numId="9">
    <w:abstractNumId w:val="19"/>
  </w:num>
  <w:num w:numId="10">
    <w:abstractNumId w:val="5"/>
  </w:num>
  <w:num w:numId="11">
    <w:abstractNumId w:val="8"/>
  </w:num>
  <w:num w:numId="12">
    <w:abstractNumId w:val="24"/>
  </w:num>
  <w:num w:numId="13">
    <w:abstractNumId w:val="13"/>
  </w:num>
  <w:num w:numId="14">
    <w:abstractNumId w:val="25"/>
  </w:num>
  <w:num w:numId="15">
    <w:abstractNumId w:val="20"/>
  </w:num>
  <w:num w:numId="16">
    <w:abstractNumId w:val="21"/>
  </w:num>
  <w:num w:numId="17">
    <w:abstractNumId w:val="22"/>
  </w:num>
  <w:num w:numId="18">
    <w:abstractNumId w:val="1"/>
  </w:num>
  <w:num w:numId="19">
    <w:abstractNumId w:val="3"/>
  </w:num>
  <w:num w:numId="20">
    <w:abstractNumId w:val="12"/>
  </w:num>
  <w:num w:numId="21">
    <w:abstractNumId w:val="23"/>
  </w:num>
  <w:num w:numId="22">
    <w:abstractNumId w:val="17"/>
  </w:num>
  <w:num w:numId="23">
    <w:abstractNumId w:val="9"/>
  </w:num>
  <w:num w:numId="24">
    <w:abstractNumId w:val="10"/>
  </w:num>
  <w:num w:numId="25">
    <w:abstractNumId w:val="14"/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17D59"/>
    <w:rsid w:val="0003595B"/>
    <w:rsid w:val="00056660"/>
    <w:rsid w:val="00057EAF"/>
    <w:rsid w:val="000713CF"/>
    <w:rsid w:val="000756AE"/>
    <w:rsid w:val="00094AF4"/>
    <w:rsid w:val="000A5418"/>
    <w:rsid w:val="000B02C6"/>
    <w:rsid w:val="000F517C"/>
    <w:rsid w:val="000F5540"/>
    <w:rsid w:val="001539DD"/>
    <w:rsid w:val="0017209B"/>
    <w:rsid w:val="00195C4C"/>
    <w:rsid w:val="00196568"/>
    <w:rsid w:val="001A2CF1"/>
    <w:rsid w:val="001A2F16"/>
    <w:rsid w:val="001A69AA"/>
    <w:rsid w:val="001B18C2"/>
    <w:rsid w:val="001B1EBE"/>
    <w:rsid w:val="001D389D"/>
    <w:rsid w:val="001D5D7E"/>
    <w:rsid w:val="00225540"/>
    <w:rsid w:val="00254A1B"/>
    <w:rsid w:val="0026180C"/>
    <w:rsid w:val="0027279A"/>
    <w:rsid w:val="0028454D"/>
    <w:rsid w:val="00291C9E"/>
    <w:rsid w:val="002922A4"/>
    <w:rsid w:val="002926D4"/>
    <w:rsid w:val="00295D9B"/>
    <w:rsid w:val="002A14B9"/>
    <w:rsid w:val="002A2382"/>
    <w:rsid w:val="002B6DC0"/>
    <w:rsid w:val="002C07DA"/>
    <w:rsid w:val="002C7EA9"/>
    <w:rsid w:val="002F296C"/>
    <w:rsid w:val="00342F20"/>
    <w:rsid w:val="0035036E"/>
    <w:rsid w:val="00372E2C"/>
    <w:rsid w:val="00376FE6"/>
    <w:rsid w:val="003809C7"/>
    <w:rsid w:val="003935AC"/>
    <w:rsid w:val="00394A48"/>
    <w:rsid w:val="003B54D4"/>
    <w:rsid w:val="003B6263"/>
    <w:rsid w:val="003C64A7"/>
    <w:rsid w:val="003D3FDA"/>
    <w:rsid w:val="003E478D"/>
    <w:rsid w:val="003E4930"/>
    <w:rsid w:val="003F1A2F"/>
    <w:rsid w:val="00403A3A"/>
    <w:rsid w:val="00420822"/>
    <w:rsid w:val="0042400C"/>
    <w:rsid w:val="0042621A"/>
    <w:rsid w:val="00433BEF"/>
    <w:rsid w:val="00435399"/>
    <w:rsid w:val="004467E2"/>
    <w:rsid w:val="0045458F"/>
    <w:rsid w:val="004633B4"/>
    <w:rsid w:val="00473941"/>
    <w:rsid w:val="004833E4"/>
    <w:rsid w:val="004B3553"/>
    <w:rsid w:val="004C6865"/>
    <w:rsid w:val="004E3842"/>
    <w:rsid w:val="004F7F12"/>
    <w:rsid w:val="00530E8C"/>
    <w:rsid w:val="00532D8B"/>
    <w:rsid w:val="00534D41"/>
    <w:rsid w:val="0054344C"/>
    <w:rsid w:val="00545933"/>
    <w:rsid w:val="00557544"/>
    <w:rsid w:val="00566193"/>
    <w:rsid w:val="00572E9C"/>
    <w:rsid w:val="00573F14"/>
    <w:rsid w:val="00587875"/>
    <w:rsid w:val="005D23EF"/>
    <w:rsid w:val="005D58B1"/>
    <w:rsid w:val="00606580"/>
    <w:rsid w:val="00607E2B"/>
    <w:rsid w:val="0061286A"/>
    <w:rsid w:val="00623CE1"/>
    <w:rsid w:val="0063062B"/>
    <w:rsid w:val="00667229"/>
    <w:rsid w:val="00672D50"/>
    <w:rsid w:val="006778F5"/>
    <w:rsid w:val="00682BE5"/>
    <w:rsid w:val="00685BC8"/>
    <w:rsid w:val="00690FED"/>
    <w:rsid w:val="006939A5"/>
    <w:rsid w:val="006A02CF"/>
    <w:rsid w:val="006A4000"/>
    <w:rsid w:val="006B1FB2"/>
    <w:rsid w:val="006B1FC7"/>
    <w:rsid w:val="006B37BB"/>
    <w:rsid w:val="006C05D4"/>
    <w:rsid w:val="006D42D9"/>
    <w:rsid w:val="006E4559"/>
    <w:rsid w:val="00711C32"/>
    <w:rsid w:val="00712451"/>
    <w:rsid w:val="00721117"/>
    <w:rsid w:val="00732F08"/>
    <w:rsid w:val="0074190C"/>
    <w:rsid w:val="00742117"/>
    <w:rsid w:val="00753DF8"/>
    <w:rsid w:val="00762576"/>
    <w:rsid w:val="00775EA8"/>
    <w:rsid w:val="0078301A"/>
    <w:rsid w:val="00791060"/>
    <w:rsid w:val="00795248"/>
    <w:rsid w:val="007A2371"/>
    <w:rsid w:val="007A4069"/>
    <w:rsid w:val="007A507E"/>
    <w:rsid w:val="007B00DD"/>
    <w:rsid w:val="007B5626"/>
    <w:rsid w:val="007E2765"/>
    <w:rsid w:val="007E62C0"/>
    <w:rsid w:val="0080570B"/>
    <w:rsid w:val="008148E1"/>
    <w:rsid w:val="008319BF"/>
    <w:rsid w:val="00835920"/>
    <w:rsid w:val="0085237E"/>
    <w:rsid w:val="00854675"/>
    <w:rsid w:val="0085496D"/>
    <w:rsid w:val="00864ABB"/>
    <w:rsid w:val="008733F7"/>
    <w:rsid w:val="00877DB1"/>
    <w:rsid w:val="008D0210"/>
    <w:rsid w:val="008D0E09"/>
    <w:rsid w:val="00900A8A"/>
    <w:rsid w:val="00945A36"/>
    <w:rsid w:val="0096718F"/>
    <w:rsid w:val="00970E07"/>
    <w:rsid w:val="0097693B"/>
    <w:rsid w:val="00993355"/>
    <w:rsid w:val="00994393"/>
    <w:rsid w:val="009A0104"/>
    <w:rsid w:val="009A4A6D"/>
    <w:rsid w:val="009D186F"/>
    <w:rsid w:val="009E3C8C"/>
    <w:rsid w:val="009F6B61"/>
    <w:rsid w:val="009F785A"/>
    <w:rsid w:val="00A13265"/>
    <w:rsid w:val="00A435EF"/>
    <w:rsid w:val="00A47B50"/>
    <w:rsid w:val="00A5156A"/>
    <w:rsid w:val="00A643D6"/>
    <w:rsid w:val="00A71136"/>
    <w:rsid w:val="00A85F98"/>
    <w:rsid w:val="00AA2AD2"/>
    <w:rsid w:val="00AA474C"/>
    <w:rsid w:val="00AA73F1"/>
    <w:rsid w:val="00AB4C6A"/>
    <w:rsid w:val="00AD7E5F"/>
    <w:rsid w:val="00AF2A24"/>
    <w:rsid w:val="00AF4AF9"/>
    <w:rsid w:val="00B00A12"/>
    <w:rsid w:val="00B01AA1"/>
    <w:rsid w:val="00B04881"/>
    <w:rsid w:val="00B130C9"/>
    <w:rsid w:val="00B147C6"/>
    <w:rsid w:val="00B30C81"/>
    <w:rsid w:val="00B4793B"/>
    <w:rsid w:val="00B55FD2"/>
    <w:rsid w:val="00B62EDE"/>
    <w:rsid w:val="00B67B7E"/>
    <w:rsid w:val="00B90DFF"/>
    <w:rsid w:val="00B9796B"/>
    <w:rsid w:val="00BA72FF"/>
    <w:rsid w:val="00BB71B0"/>
    <w:rsid w:val="00BE2F6F"/>
    <w:rsid w:val="00C03181"/>
    <w:rsid w:val="00C045BD"/>
    <w:rsid w:val="00C15633"/>
    <w:rsid w:val="00C15799"/>
    <w:rsid w:val="00C357AD"/>
    <w:rsid w:val="00C4319C"/>
    <w:rsid w:val="00C55C05"/>
    <w:rsid w:val="00C55E5D"/>
    <w:rsid w:val="00C57BDD"/>
    <w:rsid w:val="00C6069C"/>
    <w:rsid w:val="00C6154F"/>
    <w:rsid w:val="00C66D88"/>
    <w:rsid w:val="00C93B4E"/>
    <w:rsid w:val="00C97C04"/>
    <w:rsid w:val="00CA2328"/>
    <w:rsid w:val="00CB071E"/>
    <w:rsid w:val="00CD5431"/>
    <w:rsid w:val="00CD6730"/>
    <w:rsid w:val="00CF2491"/>
    <w:rsid w:val="00D05FF4"/>
    <w:rsid w:val="00D1252E"/>
    <w:rsid w:val="00D13B41"/>
    <w:rsid w:val="00D30EE8"/>
    <w:rsid w:val="00D36655"/>
    <w:rsid w:val="00D501BA"/>
    <w:rsid w:val="00D57772"/>
    <w:rsid w:val="00D62C5A"/>
    <w:rsid w:val="00D672E7"/>
    <w:rsid w:val="00D70C34"/>
    <w:rsid w:val="00D75A4D"/>
    <w:rsid w:val="00D8478B"/>
    <w:rsid w:val="00D86151"/>
    <w:rsid w:val="00DA13F6"/>
    <w:rsid w:val="00DA7595"/>
    <w:rsid w:val="00DB0A68"/>
    <w:rsid w:val="00DB1F1B"/>
    <w:rsid w:val="00DC43A3"/>
    <w:rsid w:val="00DD3B31"/>
    <w:rsid w:val="00DD7C09"/>
    <w:rsid w:val="00E0124F"/>
    <w:rsid w:val="00E06DFB"/>
    <w:rsid w:val="00E450D2"/>
    <w:rsid w:val="00E45E6F"/>
    <w:rsid w:val="00E64606"/>
    <w:rsid w:val="00E66EEA"/>
    <w:rsid w:val="00E674D3"/>
    <w:rsid w:val="00E70FD0"/>
    <w:rsid w:val="00E75E10"/>
    <w:rsid w:val="00E951DA"/>
    <w:rsid w:val="00ED79D9"/>
    <w:rsid w:val="00EE6668"/>
    <w:rsid w:val="00F26BAA"/>
    <w:rsid w:val="00F337C2"/>
    <w:rsid w:val="00F36922"/>
    <w:rsid w:val="00F84067"/>
    <w:rsid w:val="00FA02D5"/>
    <w:rsid w:val="00FC142F"/>
    <w:rsid w:val="00FD79CA"/>
    <w:rsid w:val="00FE482B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.1und1.de/SoftPhone" w:url=" " w:name="Rufnumm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1st level"/>
    <w:basedOn w:val="Normal"/>
    <w:next w:val="Normal"/>
    <w:link w:val="Heading1Char"/>
    <w:qFormat/>
    <w:rsid w:val="00DA7595"/>
    <w:pPr>
      <w:keepNext/>
      <w:jc w:val="center"/>
      <w:outlineLvl w:val="0"/>
    </w:pPr>
    <w:rPr>
      <w:b/>
      <w:bCs/>
      <w:u w:val="single"/>
      <w:lang w:val="x-none" w:eastAsia="x-none"/>
    </w:rPr>
  </w:style>
  <w:style w:type="paragraph" w:styleId="Heading2">
    <w:name w:val="heading 2"/>
    <w:aliases w:val="UNDERRUBRIK 1-2,h2,Head 2,l2,List level 2,Sub-Heading,A,1st level heading,level 2 no toc,2nd level,Titre2,h:2,h:2app,H2,2,level 2,Head2A,PA Major Section,Major Section,Head2,Header 2,Level 2 Head,Heading 2 Hidden,Titre3,Prophead 2,Header2,C2,h"/>
    <w:basedOn w:val="Normal"/>
    <w:next w:val="Normal"/>
    <w:link w:val="Heading2Char"/>
    <w:unhideWhenUsed/>
    <w:qFormat/>
    <w:rsid w:val="00672D5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Heading1"/>
    <w:next w:val="Normal"/>
    <w:link w:val="Heading3Char"/>
    <w:qFormat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 w:hanging="794"/>
      <w:jc w:val="left"/>
      <w:textAlignment w:val="baseline"/>
      <w:outlineLvl w:val="2"/>
    </w:pPr>
    <w:rPr>
      <w:rFonts w:eastAsia="MS Mincho"/>
      <w:bCs w:val="0"/>
      <w:szCs w:val="20"/>
      <w:u w:val="none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DD3B3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D3B3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D3B3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D3B31"/>
    <w:p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val="x-none" w:eastAsia="ko-KR"/>
    </w:rPr>
  </w:style>
  <w:style w:type="paragraph" w:styleId="Heading9">
    <w:name w:val="heading 9"/>
    <w:basedOn w:val="Heading6"/>
    <w:next w:val="Normal"/>
    <w:link w:val="Heading9Char"/>
    <w:qFormat/>
    <w:rsid w:val="00DD3B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odd,footer,fo,pie de página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rsid w:val="00DA7595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aliases w:val="ho,header odd,first,heading one,Odd Header,he,header odd1,header odd2,header,encabezado"/>
    <w:basedOn w:val="Normal"/>
    <w:link w:val="HeaderChar"/>
    <w:rsid w:val="0080570B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BodyText2">
    <w:name w:val="Body Text 2"/>
    <w:basedOn w:val="Normal"/>
    <w:link w:val="BodyText2Char"/>
    <w:rsid w:val="004467E2"/>
    <w:pPr>
      <w:widowControl w:val="0"/>
    </w:pPr>
    <w:rPr>
      <w:rFonts w:eastAsia="MS Mincho"/>
      <w:kern w:val="2"/>
      <w:lang w:val="x-none" w:eastAsia="ja-JP"/>
    </w:rPr>
  </w:style>
  <w:style w:type="character" w:customStyle="1" w:styleId="BodyText2Char">
    <w:name w:val="Body Text 2 Char"/>
    <w:link w:val="BodyText2"/>
    <w:rsid w:val="004467E2"/>
    <w:rPr>
      <w:rFonts w:eastAsia="MS Mincho"/>
      <w:kern w:val="2"/>
      <w:sz w:val="24"/>
      <w:szCs w:val="24"/>
      <w:lang w:eastAsia="ja-JP"/>
    </w:rPr>
  </w:style>
  <w:style w:type="character" w:customStyle="1" w:styleId="Resref">
    <w:name w:val="Res#_ref"/>
    <w:basedOn w:val="DefaultParagraphFont"/>
    <w:rsid w:val="004467E2"/>
  </w:style>
  <w:style w:type="character" w:customStyle="1" w:styleId="Heading2Char">
    <w:name w:val="Heading 2 Char"/>
    <w:aliases w:val="UNDERRUBRIK 1-2 Char,h2 Char,Head 2 Char,l2 Char,List level 2 Char,Sub-Heading Char,A Char,1st level heading Char,level 2 no toc Char,2nd level Char,Titre2 Char,h:2 Char,h:2app Char,H2 Char,2 Char,level 2 Char,Head2A Char,Head2 Char"/>
    <w:link w:val="Heading2"/>
    <w:rsid w:val="00672D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753DF8"/>
    <w:rPr>
      <w:b/>
      <w:bCs/>
    </w:rPr>
  </w:style>
  <w:style w:type="character" w:styleId="Emphasis">
    <w:name w:val="Emphasis"/>
    <w:uiPriority w:val="20"/>
    <w:qFormat/>
    <w:rsid w:val="00753DF8"/>
    <w:rPr>
      <w:i/>
      <w:iCs/>
    </w:rPr>
  </w:style>
  <w:style w:type="character" w:customStyle="1" w:styleId="Artref">
    <w:name w:val="Art_ref"/>
    <w:basedOn w:val="DefaultParagraphFont"/>
    <w:rsid w:val="00CB071E"/>
  </w:style>
  <w:style w:type="paragraph" w:customStyle="1" w:styleId="Call">
    <w:name w:val="Call"/>
    <w:basedOn w:val="Normal"/>
    <w:next w:val="Normal"/>
    <w:link w:val="CallChar"/>
    <w:rsid w:val="00CB071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both"/>
      <w:textAlignment w:val="baseline"/>
    </w:pPr>
    <w:rPr>
      <w:rFonts w:eastAsia="Times New Roman"/>
      <w:i/>
      <w:szCs w:val="20"/>
      <w:lang w:val="en-GB" w:eastAsia="x-none"/>
    </w:rPr>
  </w:style>
  <w:style w:type="paragraph" w:customStyle="1" w:styleId="enumlev1">
    <w:name w:val="enumlev1"/>
    <w:basedOn w:val="Normal"/>
    <w:link w:val="enumlev1Char"/>
    <w:rsid w:val="00CB071E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both"/>
      <w:textAlignment w:val="baseline"/>
    </w:pPr>
    <w:rPr>
      <w:rFonts w:eastAsia="Times New Roman"/>
      <w:szCs w:val="20"/>
      <w:lang w:val="en-GB" w:eastAsia="x-none"/>
    </w:rPr>
  </w:style>
  <w:style w:type="character" w:customStyle="1" w:styleId="enumlev1Char">
    <w:name w:val="enumlev1 Char"/>
    <w:link w:val="enumlev1"/>
    <w:locked/>
    <w:rsid w:val="00CB071E"/>
    <w:rPr>
      <w:rFonts w:eastAsia="Times New Roman"/>
      <w:sz w:val="24"/>
      <w:lang w:val="en-GB"/>
    </w:rPr>
  </w:style>
  <w:style w:type="character" w:customStyle="1" w:styleId="CallChar">
    <w:name w:val="Call Char"/>
    <w:link w:val="Call"/>
    <w:locked/>
    <w:rsid w:val="00CB071E"/>
    <w:rPr>
      <w:rFonts w:eastAsia="Times New Roman"/>
      <w:i/>
      <w:sz w:val="24"/>
      <w:lang w:val="en-GB"/>
    </w:rPr>
  </w:style>
  <w:style w:type="paragraph" w:customStyle="1" w:styleId="CharCharChar">
    <w:name w:val="Char Char Char"/>
    <w:basedOn w:val="Normal"/>
    <w:rsid w:val="00195C4C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Tabletext">
    <w:name w:val="Table_text"/>
    <w:basedOn w:val="Normal"/>
    <w:rsid w:val="0078301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/>
    </w:rPr>
  </w:style>
  <w:style w:type="paragraph" w:styleId="BalloonText">
    <w:name w:val="Balloon Text"/>
    <w:basedOn w:val="Normal"/>
    <w:link w:val="BalloonTextChar"/>
    <w:rsid w:val="00D30EE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30EE8"/>
    <w:rPr>
      <w:rFonts w:ascii="Tahoma" w:eastAsia="BatangChe" w:hAnsi="Tahoma" w:cs="Tahoma"/>
      <w:sz w:val="16"/>
      <w:szCs w:val="16"/>
      <w:lang w:val="en-US" w:eastAsia="en-US"/>
    </w:rPr>
  </w:style>
  <w:style w:type="character" w:styleId="FootnoteReference">
    <w:name w:val="footnote reference"/>
    <w:aliases w:val="Appel note de bas de p,Footnote Reference/,Footnote symbol,Style 12,(NECG) Footnote Reference,Style 124,Style 13"/>
    <w:basedOn w:val="DefaultParagraphFont"/>
    <w:rsid w:val="008733F7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733F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733F7"/>
    <w:rPr>
      <w:rFonts w:eastAsia="Times New Roman"/>
      <w:lang w:val="en-GB"/>
    </w:rPr>
  </w:style>
  <w:style w:type="character" w:customStyle="1" w:styleId="FooterChar">
    <w:name w:val="Footer Char"/>
    <w:aliases w:val="footer odd Char,footer Char,fo Char,pie de página Char,footer1 Char,footer odd1 Char,footer5 Char,footer odd4 Char,footer odd2 Char,footer2 Char,footer odd3 Char,footer11 Char,footer odd11 Char,footer51 Char,footer odd41 Char,footer21 Char"/>
    <w:link w:val="Footer"/>
    <w:rsid w:val="0054344C"/>
    <w:rPr>
      <w:rFonts w:eastAsia="BatangChe"/>
      <w:sz w:val="24"/>
      <w:szCs w:val="24"/>
    </w:rPr>
  </w:style>
  <w:style w:type="character" w:customStyle="1" w:styleId="HeaderChar">
    <w:name w:val="Header Char"/>
    <w:aliases w:val="ho Char,header odd Char,first Char,heading one Char,Odd Header Char,he Char,header odd1 Char,header odd2 Char,header Char,encabezado Char"/>
    <w:link w:val="Header"/>
    <w:rsid w:val="0054344C"/>
    <w:rPr>
      <w:rFonts w:eastAsia="BatangChe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D3B31"/>
    <w:rPr>
      <w:rFonts w:eastAsia="MS Mincho"/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D3B31"/>
    <w:rPr>
      <w:rFonts w:eastAsia="MS Mincho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DD3B31"/>
    <w:rPr>
      <w:rFonts w:eastAsia="MS Mincho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DD3B31"/>
    <w:rPr>
      <w:rFonts w:eastAsia="MS Mincho"/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DD3B31"/>
    <w:rPr>
      <w:rFonts w:eastAsia="MS Mincho"/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D3B31"/>
    <w:rPr>
      <w:rFonts w:eastAsia="MS Mincho"/>
      <w:b/>
      <w:sz w:val="24"/>
      <w:lang w:val="en-GB"/>
    </w:rPr>
  </w:style>
  <w:style w:type="paragraph" w:styleId="BodyText">
    <w:name w:val="Body Text"/>
    <w:basedOn w:val="Normal"/>
    <w:link w:val="BodyTextChar"/>
    <w:rsid w:val="00DD3B31"/>
    <w:rPr>
      <w:rFonts w:ascii="Arial" w:hAnsi="Arial"/>
      <w:sz w:val="22"/>
      <w:szCs w:val="20"/>
      <w:lang w:val="en-GB" w:eastAsia="ko-KR"/>
    </w:rPr>
  </w:style>
  <w:style w:type="character" w:customStyle="1" w:styleId="BodyTextChar">
    <w:name w:val="Body Text Char"/>
    <w:basedOn w:val="DefaultParagraphFont"/>
    <w:link w:val="BodyText"/>
    <w:rsid w:val="00DD3B31"/>
    <w:rPr>
      <w:rFonts w:ascii="Arial" w:eastAsia="BatangChe" w:hAnsi="Arial"/>
      <w:sz w:val="22"/>
      <w:lang w:val="en-GB" w:eastAsia="ko-KR"/>
    </w:rPr>
  </w:style>
  <w:style w:type="paragraph" w:customStyle="1" w:styleId="TableText0">
    <w:name w:val="Table_Text"/>
    <w:basedOn w:val="Normal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szCs w:val="20"/>
      <w:lang w:val="en-GB"/>
    </w:rPr>
  </w:style>
  <w:style w:type="paragraph" w:customStyle="1" w:styleId="TableTitle">
    <w:name w:val="Table_Title"/>
    <w:basedOn w:val="Table"/>
    <w:next w:val="TableText0"/>
    <w:rsid w:val="00DD3B3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D3B3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MS Mincho"/>
      <w:caps/>
      <w:szCs w:val="20"/>
      <w:lang w:val="en-GB"/>
    </w:rPr>
  </w:style>
  <w:style w:type="paragraph" w:customStyle="1" w:styleId="TableHead">
    <w:name w:val="Table_Head"/>
    <w:basedOn w:val="TableText0"/>
    <w:rsid w:val="00DD3B31"/>
    <w:pPr>
      <w:keepNext/>
      <w:spacing w:before="80" w:after="80"/>
      <w:jc w:val="center"/>
    </w:pPr>
    <w:rPr>
      <w:b/>
    </w:rPr>
  </w:style>
  <w:style w:type="paragraph" w:customStyle="1" w:styleId="Figure">
    <w:name w:val="Figure_#"/>
    <w:basedOn w:val="Table"/>
    <w:next w:val="FigureTitle"/>
    <w:rsid w:val="00DD3B31"/>
    <w:pPr>
      <w:spacing w:before="480"/>
    </w:pPr>
  </w:style>
  <w:style w:type="paragraph" w:customStyle="1" w:styleId="FigureTitle">
    <w:name w:val="Figure_Title"/>
    <w:basedOn w:val="TableTitle"/>
    <w:next w:val="Normal"/>
    <w:rsid w:val="00DD3B31"/>
    <w:pPr>
      <w:keepNext w:val="0"/>
      <w:spacing w:after="480"/>
    </w:pPr>
  </w:style>
  <w:style w:type="character" w:styleId="CommentReference">
    <w:name w:val="annotation reference"/>
    <w:basedOn w:val="DefaultParagraphFont"/>
    <w:rsid w:val="00DD3B31"/>
    <w:rPr>
      <w:sz w:val="18"/>
      <w:szCs w:val="18"/>
    </w:rPr>
  </w:style>
  <w:style w:type="paragraph" w:styleId="CommentText">
    <w:name w:val="annotation text"/>
    <w:basedOn w:val="Normal"/>
    <w:link w:val="CommentTextChar"/>
    <w:rsid w:val="00DD3B31"/>
  </w:style>
  <w:style w:type="character" w:customStyle="1" w:styleId="CommentTextChar">
    <w:name w:val="Comment Text Char"/>
    <w:basedOn w:val="DefaultParagraphFont"/>
    <w:link w:val="CommentText"/>
    <w:rsid w:val="00DD3B31"/>
    <w:rPr>
      <w:rFonts w:eastAsia="BatangChe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D3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3B31"/>
    <w:rPr>
      <w:rFonts w:eastAsia="BatangChe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DD3B31"/>
    <w:pPr>
      <w:widowControl w:val="0"/>
      <w:tabs>
        <w:tab w:val="left" w:pos="540"/>
      </w:tabs>
      <w:wordWrap w:val="0"/>
      <w:adjustRightInd w:val="0"/>
      <w:spacing w:line="360" w:lineRule="atLeast"/>
      <w:jc w:val="center"/>
      <w:textAlignment w:val="baseline"/>
    </w:pPr>
    <w:rPr>
      <w:rFonts w:eastAsia="GulimChe"/>
      <w:b/>
      <w:sz w:val="28"/>
      <w:szCs w:val="20"/>
      <w:lang w:eastAsia="ko-KR"/>
    </w:rPr>
  </w:style>
  <w:style w:type="character" w:customStyle="1" w:styleId="TitleChar">
    <w:name w:val="Title Char"/>
    <w:basedOn w:val="DefaultParagraphFont"/>
    <w:link w:val="Title"/>
    <w:rsid w:val="00DD3B31"/>
    <w:rPr>
      <w:rFonts w:eastAsia="GulimChe"/>
      <w:b/>
      <w:sz w:val="28"/>
      <w:lang w:eastAsia="ko-KR"/>
    </w:rPr>
  </w:style>
  <w:style w:type="paragraph" w:styleId="BodyTextIndent">
    <w:name w:val="Body Text Indent"/>
    <w:basedOn w:val="Normal"/>
    <w:link w:val="BodyTextIndent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621" w:hanging="621"/>
      <w:textAlignment w:val="baseline"/>
    </w:pPr>
    <w:rPr>
      <w:rFonts w:ascii="Arial" w:eastAsia="MS Gothic" w:hAnsi="Arial"/>
      <w:color w:val="999999"/>
      <w:kern w:val="2"/>
      <w:sz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DD3B31"/>
    <w:rPr>
      <w:rFonts w:ascii="Arial" w:eastAsia="MS Gothic" w:hAnsi="Arial"/>
      <w:color w:val="999999"/>
      <w:kern w:val="2"/>
      <w:sz w:val="21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DD3B31"/>
    <w:pPr>
      <w:widowControl w:val="0"/>
      <w:tabs>
        <w:tab w:val="left" w:pos="48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Chars="28" w:left="59"/>
      <w:textAlignment w:val="baseline"/>
    </w:pPr>
    <w:rPr>
      <w:rFonts w:ascii="Arial" w:eastAsia="MS Gothic" w:hAnsi="Arial"/>
      <w:kern w:val="2"/>
      <w:sz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DD3B31"/>
    <w:rPr>
      <w:rFonts w:ascii="Arial" w:eastAsia="MS Gothic" w:hAnsi="Arial"/>
      <w:kern w:val="2"/>
      <w:sz w:val="21"/>
      <w:szCs w:val="24"/>
      <w:lang w:eastAsia="ja-JP"/>
    </w:rPr>
  </w:style>
  <w:style w:type="paragraph" w:styleId="BodyText3">
    <w:name w:val="Body Text 3"/>
    <w:basedOn w:val="Normal"/>
    <w:link w:val="BodyText3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Chars="95" w:left="199" w:firstLineChars="67" w:firstLine="141"/>
      <w:textAlignment w:val="baseline"/>
    </w:pPr>
    <w:rPr>
      <w:rFonts w:ascii="Arial" w:eastAsia="MS Gothic" w:hAnsi="Arial"/>
      <w:kern w:val="2"/>
      <w:sz w:val="21"/>
      <w:lang w:eastAsia="ja-JP"/>
    </w:rPr>
  </w:style>
  <w:style w:type="character" w:customStyle="1" w:styleId="BodyText3Char">
    <w:name w:val="Body Text 3 Char"/>
    <w:basedOn w:val="DefaultParagraphFont"/>
    <w:link w:val="BodyText3"/>
    <w:rsid w:val="00DD3B31"/>
    <w:rPr>
      <w:rFonts w:ascii="Arial" w:eastAsia="MS Gothic" w:hAnsi="Arial"/>
      <w:kern w:val="2"/>
      <w:sz w:val="21"/>
      <w:szCs w:val="24"/>
      <w:lang w:eastAsia="ja-JP"/>
    </w:rPr>
  </w:style>
  <w:style w:type="character" w:customStyle="1" w:styleId="Heading8Char">
    <w:name w:val="Heading 8 Char"/>
    <w:link w:val="Heading8"/>
    <w:rsid w:val="00DD3B31"/>
    <w:rPr>
      <w:rFonts w:eastAsia="BatangChe"/>
      <w:b/>
      <w:bCs/>
      <w:kern w:val="2"/>
      <w:lang w:eastAsia="ko-KR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link w:val="Heading1"/>
    <w:rsid w:val="00DD3B31"/>
    <w:rPr>
      <w:rFonts w:eastAsia="BatangChe"/>
      <w:b/>
      <w:bCs/>
      <w:sz w:val="24"/>
      <w:szCs w:val="24"/>
      <w:u w:val="single"/>
    </w:rPr>
  </w:style>
  <w:style w:type="paragraph" w:customStyle="1" w:styleId="Artheading">
    <w:name w:val="Art_heading"/>
    <w:basedOn w:val="Normal"/>
    <w:next w:val="Normalaftertitle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Normalaftertitle">
    <w:name w:val="Normal_after_title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MS Mincho"/>
      <w:szCs w:val="20"/>
      <w:lang w:val="en-GB"/>
    </w:rPr>
  </w:style>
  <w:style w:type="paragraph" w:customStyle="1" w:styleId="ChapNo">
    <w:name w:val="Chap_No"/>
    <w:basedOn w:val="Normal"/>
    <w:next w:val="Chap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caps/>
      <w:sz w:val="28"/>
      <w:szCs w:val="20"/>
      <w:lang w:val="en-GB"/>
    </w:rPr>
  </w:style>
  <w:style w:type="paragraph" w:customStyle="1" w:styleId="Chaptitle">
    <w:name w:val="Chap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aftertitle"/>
    <w:rsid w:val="00DD3B31"/>
  </w:style>
  <w:style w:type="paragraph" w:customStyle="1" w:styleId="AnnexNotitle">
    <w:name w:val="Annex_No &amp; 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ASN1">
    <w:name w:val="ASN.1"/>
    <w:basedOn w:val="Normal"/>
    <w:rsid w:val="00DD3B31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b/>
      <w:noProof/>
      <w:sz w:val="20"/>
      <w:szCs w:val="20"/>
      <w:lang w:val="en-GB"/>
    </w:rPr>
  </w:style>
  <w:style w:type="paragraph" w:customStyle="1" w:styleId="Headingi">
    <w:name w:val="Heading_i"/>
    <w:basedOn w:val="Normal"/>
    <w:next w:val="Normal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i/>
      <w:szCs w:val="20"/>
      <w:lang w:val="en-GB"/>
    </w:rPr>
  </w:style>
  <w:style w:type="paragraph" w:customStyle="1" w:styleId="ArtNo">
    <w:name w:val="Art_No"/>
    <w:basedOn w:val="Normal"/>
    <w:next w:val="Art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enumlev2">
    <w:name w:val="enumlev2"/>
    <w:basedOn w:val="enumlev1"/>
    <w:rsid w:val="00DD3B31"/>
    <w:pPr>
      <w:tabs>
        <w:tab w:val="clear" w:pos="1134"/>
        <w:tab w:val="clear" w:pos="1871"/>
        <w:tab w:val="clear" w:pos="2608"/>
        <w:tab w:val="clear" w:pos="3345"/>
        <w:tab w:val="left" w:pos="794"/>
        <w:tab w:val="left" w:pos="1191"/>
        <w:tab w:val="left" w:pos="1588"/>
        <w:tab w:val="left" w:pos="1985"/>
      </w:tabs>
      <w:ind w:left="1191" w:hanging="397"/>
      <w:jc w:val="left"/>
    </w:pPr>
    <w:rPr>
      <w:rFonts w:eastAsia="MS Mincho"/>
      <w:lang w:eastAsia="en-US"/>
    </w:rPr>
  </w:style>
  <w:style w:type="paragraph" w:customStyle="1" w:styleId="enumlev3">
    <w:name w:val="enumlev3"/>
    <w:basedOn w:val="enumlev2"/>
    <w:rsid w:val="00DD3B31"/>
    <w:pPr>
      <w:ind w:left="1588"/>
    </w:pPr>
  </w:style>
  <w:style w:type="paragraph" w:customStyle="1" w:styleId="Equationlegend">
    <w:name w:val="Equation_legend"/>
    <w:basedOn w:val="Normal"/>
    <w:rsid w:val="00DD3B31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rFonts w:eastAsia="MS Mincho"/>
      <w:szCs w:val="20"/>
      <w:lang w:val="en-GB"/>
    </w:rPr>
  </w:style>
  <w:style w:type="paragraph" w:customStyle="1" w:styleId="Figurelegend">
    <w:name w:val="Figure_legend"/>
    <w:basedOn w:val="Normal"/>
    <w:rsid w:val="00DD3B31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MS Mincho"/>
      <w:sz w:val="18"/>
      <w:szCs w:val="20"/>
      <w:lang w:val="en-GB"/>
    </w:rPr>
  </w:style>
  <w:style w:type="paragraph" w:customStyle="1" w:styleId="Figure0">
    <w:name w:val="Figure"/>
    <w:basedOn w:val="Normal"/>
    <w:next w:val="FigureNo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FigureNotitle">
    <w:name w:val="Figure_No &amp; title"/>
    <w:basedOn w:val="Normal"/>
    <w:next w:val="Normalaftertitle"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Figurewithouttitle">
    <w:name w:val="Figure_without_title"/>
    <w:basedOn w:val="Normal"/>
    <w:next w:val="Normalaftertitle"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FirstFooter">
    <w:name w:val="FirstFooter"/>
    <w:basedOn w:val="Footer"/>
    <w:rsid w:val="00DD3B31"/>
    <w:pPr>
      <w:tabs>
        <w:tab w:val="clear" w:pos="4320"/>
        <w:tab w:val="clear" w:pos="8640"/>
      </w:tabs>
      <w:spacing w:before="40"/>
    </w:pPr>
    <w:rPr>
      <w:rFonts w:eastAsia="MS Mincho"/>
      <w:sz w:val="16"/>
      <w:szCs w:val="20"/>
      <w:lang w:val="en-GB"/>
    </w:rPr>
  </w:style>
  <w:style w:type="paragraph" w:styleId="Index1">
    <w:name w:val="index 1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/>
    </w:rPr>
  </w:style>
  <w:style w:type="paragraph" w:styleId="Index2">
    <w:name w:val="index 2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83"/>
      <w:textAlignment w:val="baseline"/>
    </w:pPr>
    <w:rPr>
      <w:rFonts w:eastAsia="MS Mincho"/>
      <w:szCs w:val="20"/>
      <w:lang w:val="en-GB"/>
    </w:rPr>
  </w:style>
  <w:style w:type="paragraph" w:styleId="Index3">
    <w:name w:val="index 3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566"/>
      <w:textAlignment w:val="baseline"/>
    </w:pPr>
    <w:rPr>
      <w:rFonts w:eastAsia="MS Mincho"/>
      <w:szCs w:val="20"/>
      <w:lang w:val="en-GB"/>
    </w:rPr>
  </w:style>
  <w:style w:type="paragraph" w:customStyle="1" w:styleId="PartNo">
    <w:name w:val="Part_No"/>
    <w:basedOn w:val="Normal"/>
    <w:next w:val="Partref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Partref">
    <w:name w:val="Part_ref"/>
    <w:basedOn w:val="Normal"/>
    <w:next w:val="Part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Parttitle">
    <w:name w:val="Part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ection1">
    <w:name w:val="Section_1"/>
    <w:basedOn w:val="Normal"/>
    <w:next w:val="Normal"/>
    <w:rsid w:val="00DD3B31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Recref">
    <w:name w:val="Rec_ref"/>
    <w:basedOn w:val="Normal"/>
    <w:next w:val="Recdate"/>
    <w:rsid w:val="00DD3B31"/>
    <w:pPr>
      <w:keepNext/>
      <w:keepLine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MS Mincho"/>
      <w:i/>
      <w:szCs w:val="20"/>
      <w:lang w:val="en-GB"/>
    </w:rPr>
  </w:style>
  <w:style w:type="paragraph" w:customStyle="1" w:styleId="Recdate">
    <w:name w:val="Rec_date"/>
    <w:basedOn w:val="Normal"/>
    <w:next w:val="Normalaftertitle"/>
    <w:rsid w:val="00DD3B31"/>
    <w:pPr>
      <w:keepNext/>
      <w:keepLines/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MS Mincho"/>
      <w:i/>
      <w:sz w:val="22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DD3B31"/>
  </w:style>
  <w:style w:type="paragraph" w:customStyle="1" w:styleId="QuestionNo">
    <w:name w:val="Question_No"/>
    <w:basedOn w:val="RecNo"/>
    <w:next w:val="Questiontitle"/>
    <w:rsid w:val="00DD3B31"/>
  </w:style>
  <w:style w:type="paragraph" w:customStyle="1" w:styleId="RecNo">
    <w:name w:val="Rec_No"/>
    <w:basedOn w:val="Normal"/>
    <w:next w:val="Rec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Rectitle">
    <w:name w:val="Rec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Questiontitle">
    <w:name w:val="Question_title"/>
    <w:basedOn w:val="Rectitle"/>
    <w:next w:val="Questionref"/>
    <w:rsid w:val="00DD3B31"/>
  </w:style>
  <w:style w:type="paragraph" w:customStyle="1" w:styleId="Questionref">
    <w:name w:val="Question_ref"/>
    <w:basedOn w:val="Recref"/>
    <w:next w:val="Questiondate"/>
    <w:rsid w:val="00DD3B31"/>
  </w:style>
  <w:style w:type="paragraph" w:customStyle="1" w:styleId="Reftext">
    <w:name w:val="Ref_text"/>
    <w:basedOn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rFonts w:eastAsia="MS Mincho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DD3B31"/>
  </w:style>
  <w:style w:type="paragraph" w:customStyle="1" w:styleId="RepNo">
    <w:name w:val="Rep_No"/>
    <w:basedOn w:val="RecNo"/>
    <w:next w:val="Reptitle"/>
    <w:rsid w:val="00DD3B31"/>
  </w:style>
  <w:style w:type="paragraph" w:customStyle="1" w:styleId="Reptitle">
    <w:name w:val="Rep_title"/>
    <w:basedOn w:val="Rectitle"/>
    <w:next w:val="Repref"/>
    <w:rsid w:val="00DD3B31"/>
  </w:style>
  <w:style w:type="paragraph" w:customStyle="1" w:styleId="Repref">
    <w:name w:val="Rep_ref"/>
    <w:basedOn w:val="Recref"/>
    <w:next w:val="Repdate"/>
    <w:rsid w:val="00DD3B31"/>
  </w:style>
  <w:style w:type="paragraph" w:customStyle="1" w:styleId="Resdate">
    <w:name w:val="Res_date"/>
    <w:basedOn w:val="Recdate"/>
    <w:next w:val="Normalaftertitle"/>
    <w:rsid w:val="00DD3B31"/>
  </w:style>
  <w:style w:type="paragraph" w:customStyle="1" w:styleId="ResNo">
    <w:name w:val="Res_No"/>
    <w:basedOn w:val="RecNo"/>
    <w:next w:val="Restitle"/>
    <w:rsid w:val="00DD3B31"/>
  </w:style>
  <w:style w:type="paragraph" w:customStyle="1" w:styleId="Restitle">
    <w:name w:val="Res_title"/>
    <w:basedOn w:val="Rectitle"/>
    <w:next w:val="Resref0"/>
    <w:link w:val="RestitleChar"/>
    <w:rsid w:val="00DD3B31"/>
    <w:rPr>
      <w:lang w:eastAsia="x-none"/>
    </w:rPr>
  </w:style>
  <w:style w:type="paragraph" w:customStyle="1" w:styleId="Resref0">
    <w:name w:val="Res_ref"/>
    <w:basedOn w:val="Recref"/>
    <w:next w:val="Resdate"/>
    <w:rsid w:val="00DD3B31"/>
  </w:style>
  <w:style w:type="paragraph" w:customStyle="1" w:styleId="SectionNo">
    <w:name w:val="Section_No"/>
    <w:basedOn w:val="Normal"/>
    <w:next w:val="Section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Sectiontitle">
    <w:name w:val="Section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ource">
    <w:name w:val="Source"/>
    <w:basedOn w:val="Normal"/>
    <w:next w:val="Normalaftertitle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DD3B31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16"/>
      <w:szCs w:val="20"/>
      <w:lang w:val="en-GB"/>
    </w:rPr>
  </w:style>
  <w:style w:type="paragraph" w:customStyle="1" w:styleId="Tablehead0">
    <w:name w:val="Table_head"/>
    <w:basedOn w:val="Normal"/>
    <w:next w:val="Tabletext"/>
    <w:rsid w:val="00DD3B3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MS Mincho"/>
      <w:b/>
      <w:sz w:val="22"/>
      <w:szCs w:val="20"/>
      <w:lang w:val="en-GB"/>
    </w:rPr>
  </w:style>
  <w:style w:type="paragraph" w:customStyle="1" w:styleId="Tablelegend">
    <w:name w:val="Table_legend"/>
    <w:basedOn w:val="Normal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20" w:after="40"/>
      <w:textAlignment w:val="baseline"/>
    </w:pPr>
    <w:rPr>
      <w:rFonts w:eastAsia="MS Mincho"/>
      <w:sz w:val="22"/>
      <w:szCs w:val="20"/>
      <w:lang w:val="en-GB"/>
    </w:rPr>
  </w:style>
  <w:style w:type="character" w:styleId="EndnoteReference">
    <w:name w:val="endnote reference"/>
    <w:rsid w:val="00DD3B31"/>
    <w:rPr>
      <w:vertAlign w:val="superscript"/>
    </w:rPr>
  </w:style>
  <w:style w:type="paragraph" w:customStyle="1" w:styleId="TableNotitle">
    <w:name w:val="Table_No &amp; title"/>
    <w:basedOn w:val="Normal"/>
    <w:next w:val="Tablehead0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Title1">
    <w:name w:val="Title 1"/>
    <w:basedOn w:val="Source"/>
    <w:next w:val="Title2"/>
    <w:rsid w:val="00DD3B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D3B31"/>
  </w:style>
  <w:style w:type="paragraph" w:customStyle="1" w:styleId="Title3">
    <w:name w:val="Title 3"/>
    <w:basedOn w:val="Title2"/>
    <w:next w:val="Title4"/>
    <w:rsid w:val="00DD3B31"/>
    <w:rPr>
      <w:caps w:val="0"/>
    </w:rPr>
  </w:style>
  <w:style w:type="paragraph" w:customStyle="1" w:styleId="Title4">
    <w:name w:val="Title 4"/>
    <w:basedOn w:val="Title3"/>
    <w:next w:val="Heading1"/>
    <w:rsid w:val="00DD3B31"/>
    <w:rPr>
      <w:b/>
    </w:rPr>
  </w:style>
  <w:style w:type="paragraph" w:customStyle="1" w:styleId="toc0">
    <w:name w:val="toc 0"/>
    <w:basedOn w:val="Normal"/>
    <w:next w:val="TOC1"/>
    <w:rsid w:val="00DD3B31"/>
    <w:pPr>
      <w:tabs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b/>
      <w:szCs w:val="20"/>
      <w:lang w:val="en-GB"/>
    </w:rPr>
  </w:style>
  <w:style w:type="paragraph" w:styleId="TOC1">
    <w:name w:val="toc 1"/>
    <w:basedOn w:val="Normal"/>
    <w:rsid w:val="00DD3B31"/>
    <w:pPr>
      <w:keepLines/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MS Mincho"/>
      <w:szCs w:val="20"/>
      <w:lang w:val="en-GB"/>
    </w:rPr>
  </w:style>
  <w:style w:type="paragraph" w:styleId="TOC2">
    <w:name w:val="toc 2"/>
    <w:basedOn w:val="TOC1"/>
    <w:rsid w:val="00DD3B31"/>
    <w:pPr>
      <w:spacing w:before="80"/>
      <w:ind w:left="1531" w:hanging="851"/>
    </w:pPr>
  </w:style>
  <w:style w:type="paragraph" w:styleId="TOC3">
    <w:name w:val="toc 3"/>
    <w:basedOn w:val="TOC2"/>
    <w:rsid w:val="00DD3B31"/>
  </w:style>
  <w:style w:type="paragraph" w:styleId="TOC4">
    <w:name w:val="toc 4"/>
    <w:basedOn w:val="TOC3"/>
    <w:rsid w:val="00DD3B31"/>
  </w:style>
  <w:style w:type="paragraph" w:styleId="TOC5">
    <w:name w:val="toc 5"/>
    <w:basedOn w:val="TOC4"/>
    <w:rsid w:val="00DD3B31"/>
  </w:style>
  <w:style w:type="paragraph" w:styleId="TOC6">
    <w:name w:val="toc 6"/>
    <w:basedOn w:val="TOC4"/>
    <w:rsid w:val="00DD3B31"/>
  </w:style>
  <w:style w:type="paragraph" w:styleId="TOC7">
    <w:name w:val="toc 7"/>
    <w:basedOn w:val="TOC4"/>
    <w:rsid w:val="00DD3B31"/>
  </w:style>
  <w:style w:type="paragraph" w:styleId="TOC8">
    <w:name w:val="toc 8"/>
    <w:basedOn w:val="TOC4"/>
    <w:rsid w:val="00DD3B31"/>
  </w:style>
  <w:style w:type="character" w:customStyle="1" w:styleId="Appdef">
    <w:name w:val="App_def"/>
    <w:rsid w:val="00DD3B3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D3B31"/>
  </w:style>
  <w:style w:type="character" w:customStyle="1" w:styleId="Artdef">
    <w:name w:val="Art_def"/>
    <w:rsid w:val="00DD3B31"/>
    <w:rPr>
      <w:rFonts w:ascii="Times New Roman" w:hAnsi="Times New Roman"/>
      <w:b/>
    </w:rPr>
  </w:style>
  <w:style w:type="paragraph" w:customStyle="1" w:styleId="Reftitle">
    <w:name w:val="Ref_title"/>
    <w:basedOn w:val="Normal"/>
    <w:next w:val="Reftext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Cs w:val="20"/>
      <w:lang w:val="en-GB"/>
    </w:rPr>
  </w:style>
  <w:style w:type="character" w:customStyle="1" w:styleId="Resdef">
    <w:name w:val="Res_def"/>
    <w:rsid w:val="00DD3B31"/>
    <w:rPr>
      <w:rFonts w:ascii="Times New Roman" w:hAnsi="Times New Roman"/>
      <w:b/>
    </w:rPr>
  </w:style>
  <w:style w:type="character" w:customStyle="1" w:styleId="Tablefreq">
    <w:name w:val="Table_freq"/>
    <w:rsid w:val="00DD3B31"/>
    <w:rPr>
      <w:b/>
      <w:color w:val="auto"/>
    </w:rPr>
  </w:style>
  <w:style w:type="paragraph" w:customStyle="1" w:styleId="Formal">
    <w:name w:val="Formal"/>
    <w:basedOn w:val="ASN1"/>
    <w:rsid w:val="00DD3B31"/>
    <w:rPr>
      <w:b w:val="0"/>
    </w:rPr>
  </w:style>
  <w:style w:type="paragraph" w:customStyle="1" w:styleId="FooterQP">
    <w:name w:val="Footer_QP"/>
    <w:basedOn w:val="Normal"/>
    <w:rsid w:val="00DD3B31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2"/>
      <w:szCs w:val="20"/>
      <w:lang w:val="en-GB"/>
    </w:rPr>
  </w:style>
  <w:style w:type="paragraph" w:customStyle="1" w:styleId="Headingb">
    <w:name w:val="Heading_b"/>
    <w:basedOn w:val="Normal"/>
    <w:next w:val="Normal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DD3B31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i/>
      <w:szCs w:val="20"/>
      <w:lang w:val="en-GB"/>
    </w:rPr>
  </w:style>
  <w:style w:type="paragraph" w:customStyle="1" w:styleId="RecNoBR">
    <w:name w:val="Rec_No_BR"/>
    <w:basedOn w:val="Normal"/>
    <w:next w:val="Rec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DD3B31"/>
  </w:style>
  <w:style w:type="paragraph" w:customStyle="1" w:styleId="RepNoBR">
    <w:name w:val="Rep_No_BR"/>
    <w:basedOn w:val="RecNoBR"/>
    <w:next w:val="Reptitle"/>
    <w:rsid w:val="00DD3B31"/>
  </w:style>
  <w:style w:type="paragraph" w:customStyle="1" w:styleId="ResNoBR">
    <w:name w:val="Res_No_BR"/>
    <w:basedOn w:val="RecNoBR"/>
    <w:next w:val="Restitle"/>
    <w:rsid w:val="00DD3B31"/>
  </w:style>
  <w:style w:type="paragraph" w:customStyle="1" w:styleId="TabletitleBR">
    <w:name w:val="Table_title_BR"/>
    <w:basedOn w:val="Normal"/>
    <w:next w:val="Tablehead0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TableNoBR">
    <w:name w:val="Table_No_BR"/>
    <w:basedOn w:val="Normal"/>
    <w:next w:val="TabletitleBR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  <w:szCs w:val="20"/>
      <w:lang w:val="en-GB"/>
    </w:rPr>
  </w:style>
  <w:style w:type="paragraph" w:customStyle="1" w:styleId="Tableref">
    <w:name w:val="Table_ref"/>
    <w:basedOn w:val="Normal"/>
    <w:next w:val="TabletitleBR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MS Mincho"/>
      <w:szCs w:val="20"/>
      <w:lang w:val="en-GB"/>
    </w:rPr>
  </w:style>
  <w:style w:type="character" w:customStyle="1" w:styleId="Recdef">
    <w:name w:val="Rec_def"/>
    <w:rsid w:val="00DD3B31"/>
    <w:rPr>
      <w:b/>
    </w:rPr>
  </w:style>
  <w:style w:type="paragraph" w:customStyle="1" w:styleId="FiguretitleBR">
    <w:name w:val="Figure_title_BR"/>
    <w:basedOn w:val="TabletitleBR"/>
    <w:next w:val="Figurewithouttitle"/>
    <w:rsid w:val="00DD3B3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MS Mincho"/>
      <w:caps/>
      <w:szCs w:val="20"/>
      <w:lang w:val="en-GB"/>
    </w:rPr>
  </w:style>
  <w:style w:type="paragraph" w:customStyle="1" w:styleId="AppendixNoTitle0">
    <w:name w:val="Appendix_No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 w:cs="Angsana New"/>
      <w:b/>
      <w:sz w:val="28"/>
      <w:szCs w:val="20"/>
      <w:lang w:val="en-GB"/>
    </w:rPr>
  </w:style>
  <w:style w:type="character" w:styleId="Hyperlink">
    <w:name w:val="Hyperlink"/>
    <w:rsid w:val="00DD3B31"/>
    <w:rPr>
      <w:color w:val="0000FF"/>
      <w:u w:val="single"/>
    </w:rPr>
  </w:style>
  <w:style w:type="paragraph" w:customStyle="1" w:styleId="Heading8a">
    <w:name w:val="Heading 8a"/>
    <w:basedOn w:val="Heading8"/>
    <w:next w:val="Normal"/>
    <w:rsid w:val="00DD3B31"/>
    <w:pPr>
      <w:keepLines/>
      <w:widowControl/>
      <w:tabs>
        <w:tab w:val="left" w:pos="1418"/>
      </w:tabs>
      <w:wordWrap/>
      <w:overflowPunct w:val="0"/>
      <w:autoSpaceDE w:val="0"/>
      <w:autoSpaceDN w:val="0"/>
      <w:adjustRightInd w:val="0"/>
      <w:spacing w:before="200"/>
      <w:ind w:left="1418" w:hanging="1418"/>
      <w:jc w:val="left"/>
      <w:textAlignment w:val="baseline"/>
    </w:pPr>
    <w:rPr>
      <w:rFonts w:eastAsia="MS Mincho"/>
      <w:bCs w:val="0"/>
      <w:kern w:val="0"/>
      <w:sz w:val="24"/>
      <w:lang w:val="en-GB" w:eastAsia="en-US"/>
    </w:rPr>
  </w:style>
  <w:style w:type="paragraph" w:customStyle="1" w:styleId="TableNo">
    <w:name w:val="Table_No"/>
    <w:basedOn w:val="Normal"/>
    <w:next w:val="Tabletitle0"/>
    <w:rsid w:val="00DD3B3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  <w:sz w:val="20"/>
      <w:szCs w:val="20"/>
      <w:lang w:val="en-GB"/>
    </w:rPr>
  </w:style>
  <w:style w:type="paragraph" w:customStyle="1" w:styleId="Tabletitle0">
    <w:name w:val="Table_title"/>
    <w:basedOn w:val="Normal"/>
    <w:next w:val="Tabletext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  <w:sz w:val="20"/>
      <w:szCs w:val="20"/>
      <w:lang w:val="en-GB"/>
    </w:rPr>
  </w:style>
  <w:style w:type="paragraph" w:customStyle="1" w:styleId="Annextitle">
    <w:name w:val="Annex_title"/>
    <w:basedOn w:val="Normal"/>
    <w:next w:val="Normal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8"/>
      <w:szCs w:val="20"/>
      <w:lang w:val="en-GB"/>
    </w:rPr>
  </w:style>
  <w:style w:type="paragraph" w:customStyle="1" w:styleId="AnnexNo">
    <w:name w:val="Annex_No"/>
    <w:basedOn w:val="Normal"/>
    <w:next w:val="Normal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Reasons">
    <w:name w:val="Reasons"/>
    <w:basedOn w:val="Normal"/>
    <w:link w:val="ReasonsChar"/>
    <w:rsid w:val="00DD3B31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 w:eastAsia="x-none"/>
    </w:rPr>
  </w:style>
  <w:style w:type="paragraph" w:customStyle="1" w:styleId="Proposal">
    <w:name w:val="Proposal"/>
    <w:basedOn w:val="Normal"/>
    <w:next w:val="Normal"/>
    <w:rsid w:val="00DD3B3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eastAsia="MS Mincho" w:hAnsi="Times New Roman Bold" w:cs="Times New Roman Bold"/>
      <w:b/>
      <w:szCs w:val="20"/>
      <w:lang w:val="en-GB"/>
    </w:rPr>
  </w:style>
  <w:style w:type="character" w:customStyle="1" w:styleId="ReasonsChar">
    <w:name w:val="Reasons Char"/>
    <w:link w:val="Reasons"/>
    <w:rsid w:val="00DD3B31"/>
    <w:rPr>
      <w:rFonts w:eastAsia="MS Mincho"/>
      <w:sz w:val="24"/>
      <w:lang w:val="en-GB"/>
    </w:rPr>
  </w:style>
  <w:style w:type="character" w:customStyle="1" w:styleId="href">
    <w:name w:val="href"/>
    <w:basedOn w:val="DefaultParagraphFont"/>
    <w:rsid w:val="00DD3B31"/>
  </w:style>
  <w:style w:type="paragraph" w:customStyle="1" w:styleId="Normalaftertitle0">
    <w:name w:val="Normal after title"/>
    <w:basedOn w:val="Normal"/>
    <w:next w:val="Normal"/>
    <w:rsid w:val="00DD3B3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MS Mincho"/>
      <w:szCs w:val="20"/>
      <w:lang w:val="en-GB"/>
    </w:rPr>
  </w:style>
  <w:style w:type="paragraph" w:customStyle="1" w:styleId="headingb0">
    <w:name w:val="heading_b"/>
    <w:basedOn w:val="Heading3"/>
    <w:next w:val="Normal"/>
    <w:rsid w:val="00DD3B31"/>
    <w:pPr>
      <w:tabs>
        <w:tab w:val="clear" w:pos="1191"/>
        <w:tab w:val="clear" w:pos="1588"/>
        <w:tab w:val="clear" w:pos="1985"/>
        <w:tab w:val="num" w:pos="720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200"/>
      <w:ind w:left="0" w:firstLine="0"/>
      <w:textAlignment w:val="auto"/>
      <w:outlineLvl w:val="9"/>
    </w:pPr>
    <w:rPr>
      <w:rFonts w:cs="Angsana New"/>
    </w:rPr>
  </w:style>
  <w:style w:type="paragraph" w:customStyle="1" w:styleId="Appendixtitle">
    <w:name w:val="Appendix_title"/>
    <w:basedOn w:val="Annextitle"/>
    <w:next w:val="Normal"/>
    <w:rsid w:val="00DD3B31"/>
  </w:style>
  <w:style w:type="paragraph" w:customStyle="1" w:styleId="AppendixNo">
    <w:name w:val="Appendix_No"/>
    <w:basedOn w:val="AnnexNo"/>
    <w:next w:val="Normal"/>
    <w:rsid w:val="00DD3B31"/>
  </w:style>
  <w:style w:type="paragraph" w:customStyle="1" w:styleId="AnnexNoTitle0">
    <w:name w:val="Annex_NoTitle"/>
    <w:basedOn w:val="Normal"/>
    <w:next w:val="Normalaftertitle"/>
    <w:link w:val="AnnexNoTitleChar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 w:eastAsia="x-none"/>
    </w:rPr>
  </w:style>
  <w:style w:type="character" w:customStyle="1" w:styleId="AnnexNoTitleChar">
    <w:name w:val="Annex_NoTitle Char"/>
    <w:link w:val="AnnexNoTitle0"/>
    <w:rsid w:val="00DD3B31"/>
    <w:rPr>
      <w:rFonts w:eastAsia="MS Mincho"/>
      <w:b/>
      <w:sz w:val="28"/>
      <w:lang w:val="en-GB"/>
    </w:rPr>
  </w:style>
  <w:style w:type="paragraph" w:customStyle="1" w:styleId="listitem">
    <w:name w:val="listitem"/>
    <w:basedOn w:val="Normal"/>
    <w:rsid w:val="00DD3B31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  <w:lang w:val="fr-FR"/>
    </w:rPr>
  </w:style>
  <w:style w:type="paragraph" w:customStyle="1" w:styleId="Style0">
    <w:name w:val="Style0"/>
    <w:basedOn w:val="Normal"/>
    <w:link w:val="Style0Char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eastAsia="MS Mincho"/>
      <w:b/>
      <w:bCs/>
      <w:color w:val="000000"/>
      <w:sz w:val="16"/>
      <w:szCs w:val="16"/>
      <w:lang w:val="en-GB" w:eastAsia="x-none"/>
    </w:rPr>
  </w:style>
  <w:style w:type="character" w:customStyle="1" w:styleId="Style0CharChar">
    <w:name w:val="Style0 Char Char"/>
    <w:link w:val="Style0"/>
    <w:rsid w:val="00DD3B31"/>
    <w:rPr>
      <w:rFonts w:eastAsia="MS Mincho"/>
      <w:b/>
      <w:bCs/>
      <w:color w:val="000000"/>
      <w:sz w:val="16"/>
      <w:szCs w:val="16"/>
      <w:lang w:val="en-GB"/>
    </w:rPr>
  </w:style>
  <w:style w:type="paragraph" w:customStyle="1" w:styleId="Style1notBold">
    <w:name w:val="Style1(not Bold)"/>
    <w:basedOn w:val="Normal"/>
    <w:link w:val="Style1notBold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ind w:left="85"/>
      <w:textAlignment w:val="baseline"/>
    </w:pPr>
    <w:rPr>
      <w:rFonts w:eastAsia="MS Mincho"/>
      <w:color w:val="000000"/>
      <w:sz w:val="16"/>
      <w:szCs w:val="16"/>
      <w:lang w:val="x-none" w:eastAsia="x-none"/>
    </w:rPr>
  </w:style>
  <w:style w:type="character" w:customStyle="1" w:styleId="Style1notBoldChar">
    <w:name w:val="Style1(not Bold) Char"/>
    <w:link w:val="Style1notBold"/>
    <w:rsid w:val="00DD3B31"/>
    <w:rPr>
      <w:rFonts w:eastAsia="MS Mincho"/>
      <w:color w:val="000000"/>
      <w:sz w:val="16"/>
      <w:szCs w:val="16"/>
    </w:rPr>
  </w:style>
  <w:style w:type="paragraph" w:customStyle="1" w:styleId="Style2notbold">
    <w:name w:val="Style2 (not bold)"/>
    <w:basedOn w:val="Style1notBold"/>
    <w:link w:val="Style2notboldChar"/>
    <w:rsid w:val="00DD3B31"/>
    <w:pPr>
      <w:ind w:left="227"/>
    </w:pPr>
  </w:style>
  <w:style w:type="character" w:customStyle="1" w:styleId="Style2notboldChar">
    <w:name w:val="Style2 (not bold) Char"/>
    <w:basedOn w:val="Style1notBoldChar"/>
    <w:link w:val="Style2notbold"/>
    <w:rsid w:val="00DD3B31"/>
    <w:rPr>
      <w:rFonts w:eastAsia="MS Mincho"/>
      <w:color w:val="000000"/>
      <w:sz w:val="16"/>
      <w:szCs w:val="16"/>
    </w:rPr>
  </w:style>
  <w:style w:type="paragraph" w:customStyle="1" w:styleId="Style3notbold">
    <w:name w:val="Style3 (not bold)"/>
    <w:basedOn w:val="Normal"/>
    <w:link w:val="Style3notbold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ind w:left="397"/>
      <w:textAlignment w:val="baseline"/>
    </w:pPr>
    <w:rPr>
      <w:rFonts w:eastAsia="MS Mincho"/>
      <w:sz w:val="16"/>
      <w:szCs w:val="20"/>
      <w:lang w:val="en-GB" w:eastAsia="x-none"/>
    </w:rPr>
  </w:style>
  <w:style w:type="character" w:customStyle="1" w:styleId="Style3notboldChar">
    <w:name w:val="Style3 (not bold) Char"/>
    <w:link w:val="Style3notbold"/>
    <w:rsid w:val="00DD3B31"/>
    <w:rPr>
      <w:rFonts w:eastAsia="MS Mincho"/>
      <w:sz w:val="16"/>
      <w:lang w:val="en-GB"/>
    </w:rPr>
  </w:style>
  <w:style w:type="paragraph" w:customStyle="1" w:styleId="Style4notbold">
    <w:name w:val="Style4 (not bold)"/>
    <w:basedOn w:val="Style3notbold"/>
    <w:link w:val="Style4notboldChar"/>
    <w:rsid w:val="00DD3B31"/>
    <w:pPr>
      <w:ind w:left="567"/>
    </w:pPr>
  </w:style>
  <w:style w:type="character" w:customStyle="1" w:styleId="Style4notboldChar">
    <w:name w:val="Style4 (not bold) Char"/>
    <w:basedOn w:val="Style3notboldChar"/>
    <w:link w:val="Style4notbold"/>
    <w:rsid w:val="00DD3B31"/>
    <w:rPr>
      <w:rFonts w:eastAsia="MS Mincho"/>
      <w:sz w:val="16"/>
      <w:lang w:val="en-GB"/>
    </w:rPr>
  </w:style>
  <w:style w:type="paragraph" w:customStyle="1" w:styleId="Style1">
    <w:name w:val="Style1"/>
    <w:basedOn w:val="Style0"/>
    <w:link w:val="Style1Char"/>
    <w:rsid w:val="00DD3B31"/>
    <w:rPr>
      <w:rFonts w:ascii="Times New Roman Bold" w:hAnsi="Times New Roman Bold"/>
    </w:rPr>
  </w:style>
  <w:style w:type="character" w:customStyle="1" w:styleId="Style1Char">
    <w:name w:val="Style1 Char"/>
    <w:link w:val="Style1"/>
    <w:rsid w:val="00DD3B31"/>
    <w:rPr>
      <w:rFonts w:ascii="Times New Roman Bold" w:eastAsia="MS Mincho" w:hAnsi="Times New Roman Bold"/>
      <w:b/>
      <w:bCs/>
      <w:color w:val="000000"/>
      <w:sz w:val="16"/>
      <w:szCs w:val="16"/>
      <w:lang w:val="en-GB"/>
    </w:rPr>
  </w:style>
  <w:style w:type="paragraph" w:customStyle="1" w:styleId="Tablefin">
    <w:name w:val="Table_fin"/>
    <w:basedOn w:val="Normal"/>
    <w:rsid w:val="00DD3B31"/>
    <w:pPr>
      <w:tabs>
        <w:tab w:val="left" w:pos="1871"/>
        <w:tab w:val="left" w:pos="2268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12"/>
      <w:szCs w:val="20"/>
      <w:lang w:val="fr-FR"/>
    </w:rPr>
  </w:style>
  <w:style w:type="character" w:customStyle="1" w:styleId="RestitleChar">
    <w:name w:val="Res_title Char"/>
    <w:link w:val="Restitle"/>
    <w:rsid w:val="00DD3B31"/>
    <w:rPr>
      <w:rFonts w:eastAsia="MS Mincho"/>
      <w:b/>
      <w:sz w:val="28"/>
      <w:lang w:val="en-GB"/>
    </w:rPr>
  </w:style>
  <w:style w:type="paragraph" w:customStyle="1" w:styleId="TabletextChar">
    <w:name w:val="Table_text Char"/>
    <w:basedOn w:val="Normal"/>
    <w:link w:val="TabletextCharChar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  <w:sz w:val="22"/>
      <w:szCs w:val="20"/>
      <w:lang w:val="en-GB" w:eastAsia="x-none"/>
    </w:rPr>
  </w:style>
  <w:style w:type="character" w:customStyle="1" w:styleId="TabletextCharChar">
    <w:name w:val="Table_text Char Char"/>
    <w:link w:val="TabletextChar"/>
    <w:rsid w:val="00DD3B31"/>
    <w:rPr>
      <w:rFonts w:eastAsia="MS Mincho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1st level"/>
    <w:basedOn w:val="Normal"/>
    <w:next w:val="Normal"/>
    <w:link w:val="Heading1Char"/>
    <w:qFormat/>
    <w:rsid w:val="00DA7595"/>
    <w:pPr>
      <w:keepNext/>
      <w:jc w:val="center"/>
      <w:outlineLvl w:val="0"/>
    </w:pPr>
    <w:rPr>
      <w:b/>
      <w:bCs/>
      <w:u w:val="single"/>
      <w:lang w:val="x-none" w:eastAsia="x-none"/>
    </w:rPr>
  </w:style>
  <w:style w:type="paragraph" w:styleId="Heading2">
    <w:name w:val="heading 2"/>
    <w:aliases w:val="UNDERRUBRIK 1-2,h2,Head 2,l2,List level 2,Sub-Heading,A,1st level heading,level 2 no toc,2nd level,Titre2,h:2,h:2app,H2,2,level 2,Head2A,PA Major Section,Major Section,Head2,Header 2,Level 2 Head,Heading 2 Hidden,Titre3,Prophead 2,Header2,C2,h"/>
    <w:basedOn w:val="Normal"/>
    <w:next w:val="Normal"/>
    <w:link w:val="Heading2Char"/>
    <w:unhideWhenUsed/>
    <w:qFormat/>
    <w:rsid w:val="00672D5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Heading1"/>
    <w:next w:val="Normal"/>
    <w:link w:val="Heading3Char"/>
    <w:qFormat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 w:hanging="794"/>
      <w:jc w:val="left"/>
      <w:textAlignment w:val="baseline"/>
      <w:outlineLvl w:val="2"/>
    </w:pPr>
    <w:rPr>
      <w:rFonts w:eastAsia="MS Mincho"/>
      <w:bCs w:val="0"/>
      <w:szCs w:val="20"/>
      <w:u w:val="none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DD3B3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D3B3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D3B3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D3B31"/>
    <w:p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val="x-none" w:eastAsia="ko-KR"/>
    </w:rPr>
  </w:style>
  <w:style w:type="paragraph" w:styleId="Heading9">
    <w:name w:val="heading 9"/>
    <w:basedOn w:val="Heading6"/>
    <w:next w:val="Normal"/>
    <w:link w:val="Heading9Char"/>
    <w:qFormat/>
    <w:rsid w:val="00DD3B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odd,footer,fo,pie de página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rsid w:val="00DA7595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aliases w:val="ho,header odd,first,heading one,Odd Header,he,header odd1,header odd2,header,encabezado"/>
    <w:basedOn w:val="Normal"/>
    <w:link w:val="HeaderChar"/>
    <w:rsid w:val="0080570B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BodyText2">
    <w:name w:val="Body Text 2"/>
    <w:basedOn w:val="Normal"/>
    <w:link w:val="BodyText2Char"/>
    <w:rsid w:val="004467E2"/>
    <w:pPr>
      <w:widowControl w:val="0"/>
    </w:pPr>
    <w:rPr>
      <w:rFonts w:eastAsia="MS Mincho"/>
      <w:kern w:val="2"/>
      <w:lang w:val="x-none" w:eastAsia="ja-JP"/>
    </w:rPr>
  </w:style>
  <w:style w:type="character" w:customStyle="1" w:styleId="BodyText2Char">
    <w:name w:val="Body Text 2 Char"/>
    <w:link w:val="BodyText2"/>
    <w:rsid w:val="004467E2"/>
    <w:rPr>
      <w:rFonts w:eastAsia="MS Mincho"/>
      <w:kern w:val="2"/>
      <w:sz w:val="24"/>
      <w:szCs w:val="24"/>
      <w:lang w:eastAsia="ja-JP"/>
    </w:rPr>
  </w:style>
  <w:style w:type="character" w:customStyle="1" w:styleId="Resref">
    <w:name w:val="Res#_ref"/>
    <w:basedOn w:val="DefaultParagraphFont"/>
    <w:rsid w:val="004467E2"/>
  </w:style>
  <w:style w:type="character" w:customStyle="1" w:styleId="Heading2Char">
    <w:name w:val="Heading 2 Char"/>
    <w:aliases w:val="UNDERRUBRIK 1-2 Char,h2 Char,Head 2 Char,l2 Char,List level 2 Char,Sub-Heading Char,A Char,1st level heading Char,level 2 no toc Char,2nd level Char,Titre2 Char,h:2 Char,h:2app Char,H2 Char,2 Char,level 2 Char,Head2A Char,Head2 Char"/>
    <w:link w:val="Heading2"/>
    <w:rsid w:val="00672D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753DF8"/>
    <w:rPr>
      <w:b/>
      <w:bCs/>
    </w:rPr>
  </w:style>
  <w:style w:type="character" w:styleId="Emphasis">
    <w:name w:val="Emphasis"/>
    <w:uiPriority w:val="20"/>
    <w:qFormat/>
    <w:rsid w:val="00753DF8"/>
    <w:rPr>
      <w:i/>
      <w:iCs/>
    </w:rPr>
  </w:style>
  <w:style w:type="character" w:customStyle="1" w:styleId="Artref">
    <w:name w:val="Art_ref"/>
    <w:basedOn w:val="DefaultParagraphFont"/>
    <w:rsid w:val="00CB071E"/>
  </w:style>
  <w:style w:type="paragraph" w:customStyle="1" w:styleId="Call">
    <w:name w:val="Call"/>
    <w:basedOn w:val="Normal"/>
    <w:next w:val="Normal"/>
    <w:link w:val="CallChar"/>
    <w:rsid w:val="00CB071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both"/>
      <w:textAlignment w:val="baseline"/>
    </w:pPr>
    <w:rPr>
      <w:rFonts w:eastAsia="Times New Roman"/>
      <w:i/>
      <w:szCs w:val="20"/>
      <w:lang w:val="en-GB" w:eastAsia="x-none"/>
    </w:rPr>
  </w:style>
  <w:style w:type="paragraph" w:customStyle="1" w:styleId="enumlev1">
    <w:name w:val="enumlev1"/>
    <w:basedOn w:val="Normal"/>
    <w:link w:val="enumlev1Char"/>
    <w:rsid w:val="00CB071E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both"/>
      <w:textAlignment w:val="baseline"/>
    </w:pPr>
    <w:rPr>
      <w:rFonts w:eastAsia="Times New Roman"/>
      <w:szCs w:val="20"/>
      <w:lang w:val="en-GB" w:eastAsia="x-none"/>
    </w:rPr>
  </w:style>
  <w:style w:type="character" w:customStyle="1" w:styleId="enumlev1Char">
    <w:name w:val="enumlev1 Char"/>
    <w:link w:val="enumlev1"/>
    <w:locked/>
    <w:rsid w:val="00CB071E"/>
    <w:rPr>
      <w:rFonts w:eastAsia="Times New Roman"/>
      <w:sz w:val="24"/>
      <w:lang w:val="en-GB"/>
    </w:rPr>
  </w:style>
  <w:style w:type="character" w:customStyle="1" w:styleId="CallChar">
    <w:name w:val="Call Char"/>
    <w:link w:val="Call"/>
    <w:locked/>
    <w:rsid w:val="00CB071E"/>
    <w:rPr>
      <w:rFonts w:eastAsia="Times New Roman"/>
      <w:i/>
      <w:sz w:val="24"/>
      <w:lang w:val="en-GB"/>
    </w:rPr>
  </w:style>
  <w:style w:type="paragraph" w:customStyle="1" w:styleId="CharCharChar">
    <w:name w:val="Char Char Char"/>
    <w:basedOn w:val="Normal"/>
    <w:rsid w:val="00195C4C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Tabletext">
    <w:name w:val="Table_text"/>
    <w:basedOn w:val="Normal"/>
    <w:rsid w:val="0078301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/>
    </w:rPr>
  </w:style>
  <w:style w:type="paragraph" w:styleId="BalloonText">
    <w:name w:val="Balloon Text"/>
    <w:basedOn w:val="Normal"/>
    <w:link w:val="BalloonTextChar"/>
    <w:rsid w:val="00D30EE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30EE8"/>
    <w:rPr>
      <w:rFonts w:ascii="Tahoma" w:eastAsia="BatangChe" w:hAnsi="Tahoma" w:cs="Tahoma"/>
      <w:sz w:val="16"/>
      <w:szCs w:val="16"/>
      <w:lang w:val="en-US" w:eastAsia="en-US"/>
    </w:rPr>
  </w:style>
  <w:style w:type="character" w:styleId="FootnoteReference">
    <w:name w:val="footnote reference"/>
    <w:aliases w:val="Appel note de bas de p,Footnote Reference/,Footnote symbol,Style 12,(NECG) Footnote Reference,Style 124,Style 13"/>
    <w:basedOn w:val="DefaultParagraphFont"/>
    <w:rsid w:val="008733F7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733F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733F7"/>
    <w:rPr>
      <w:rFonts w:eastAsia="Times New Roman"/>
      <w:lang w:val="en-GB"/>
    </w:rPr>
  </w:style>
  <w:style w:type="character" w:customStyle="1" w:styleId="FooterChar">
    <w:name w:val="Footer Char"/>
    <w:aliases w:val="footer odd Char,footer Char,fo Char,pie de página Char,footer1 Char,footer odd1 Char,footer5 Char,footer odd4 Char,footer odd2 Char,footer2 Char,footer odd3 Char,footer11 Char,footer odd11 Char,footer51 Char,footer odd41 Char,footer21 Char"/>
    <w:link w:val="Footer"/>
    <w:rsid w:val="0054344C"/>
    <w:rPr>
      <w:rFonts w:eastAsia="BatangChe"/>
      <w:sz w:val="24"/>
      <w:szCs w:val="24"/>
    </w:rPr>
  </w:style>
  <w:style w:type="character" w:customStyle="1" w:styleId="HeaderChar">
    <w:name w:val="Header Char"/>
    <w:aliases w:val="ho Char,header odd Char,first Char,heading one Char,Odd Header Char,he Char,header odd1 Char,header odd2 Char,header Char,encabezado Char"/>
    <w:link w:val="Header"/>
    <w:rsid w:val="0054344C"/>
    <w:rPr>
      <w:rFonts w:eastAsia="BatangChe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D3B31"/>
    <w:rPr>
      <w:rFonts w:eastAsia="MS Mincho"/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D3B31"/>
    <w:rPr>
      <w:rFonts w:eastAsia="MS Mincho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DD3B31"/>
    <w:rPr>
      <w:rFonts w:eastAsia="MS Mincho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DD3B31"/>
    <w:rPr>
      <w:rFonts w:eastAsia="MS Mincho"/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DD3B31"/>
    <w:rPr>
      <w:rFonts w:eastAsia="MS Mincho"/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D3B31"/>
    <w:rPr>
      <w:rFonts w:eastAsia="MS Mincho"/>
      <w:b/>
      <w:sz w:val="24"/>
      <w:lang w:val="en-GB"/>
    </w:rPr>
  </w:style>
  <w:style w:type="paragraph" w:styleId="BodyText">
    <w:name w:val="Body Text"/>
    <w:basedOn w:val="Normal"/>
    <w:link w:val="BodyTextChar"/>
    <w:rsid w:val="00DD3B31"/>
    <w:rPr>
      <w:rFonts w:ascii="Arial" w:hAnsi="Arial"/>
      <w:sz w:val="22"/>
      <w:szCs w:val="20"/>
      <w:lang w:val="en-GB" w:eastAsia="ko-KR"/>
    </w:rPr>
  </w:style>
  <w:style w:type="character" w:customStyle="1" w:styleId="BodyTextChar">
    <w:name w:val="Body Text Char"/>
    <w:basedOn w:val="DefaultParagraphFont"/>
    <w:link w:val="BodyText"/>
    <w:rsid w:val="00DD3B31"/>
    <w:rPr>
      <w:rFonts w:ascii="Arial" w:eastAsia="BatangChe" w:hAnsi="Arial"/>
      <w:sz w:val="22"/>
      <w:lang w:val="en-GB" w:eastAsia="ko-KR"/>
    </w:rPr>
  </w:style>
  <w:style w:type="paragraph" w:customStyle="1" w:styleId="TableText0">
    <w:name w:val="Table_Text"/>
    <w:basedOn w:val="Normal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szCs w:val="20"/>
      <w:lang w:val="en-GB"/>
    </w:rPr>
  </w:style>
  <w:style w:type="paragraph" w:customStyle="1" w:styleId="TableTitle">
    <w:name w:val="Table_Title"/>
    <w:basedOn w:val="Table"/>
    <w:next w:val="TableText0"/>
    <w:rsid w:val="00DD3B3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D3B3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MS Mincho"/>
      <w:caps/>
      <w:szCs w:val="20"/>
      <w:lang w:val="en-GB"/>
    </w:rPr>
  </w:style>
  <w:style w:type="paragraph" w:customStyle="1" w:styleId="TableHead">
    <w:name w:val="Table_Head"/>
    <w:basedOn w:val="TableText0"/>
    <w:rsid w:val="00DD3B31"/>
    <w:pPr>
      <w:keepNext/>
      <w:spacing w:before="80" w:after="80"/>
      <w:jc w:val="center"/>
    </w:pPr>
    <w:rPr>
      <w:b/>
    </w:rPr>
  </w:style>
  <w:style w:type="paragraph" w:customStyle="1" w:styleId="Figure">
    <w:name w:val="Figure_#"/>
    <w:basedOn w:val="Table"/>
    <w:next w:val="FigureTitle"/>
    <w:rsid w:val="00DD3B31"/>
    <w:pPr>
      <w:spacing w:before="480"/>
    </w:pPr>
  </w:style>
  <w:style w:type="paragraph" w:customStyle="1" w:styleId="FigureTitle">
    <w:name w:val="Figure_Title"/>
    <w:basedOn w:val="TableTitle"/>
    <w:next w:val="Normal"/>
    <w:rsid w:val="00DD3B31"/>
    <w:pPr>
      <w:keepNext w:val="0"/>
      <w:spacing w:after="480"/>
    </w:pPr>
  </w:style>
  <w:style w:type="character" w:styleId="CommentReference">
    <w:name w:val="annotation reference"/>
    <w:basedOn w:val="DefaultParagraphFont"/>
    <w:rsid w:val="00DD3B31"/>
    <w:rPr>
      <w:sz w:val="18"/>
      <w:szCs w:val="18"/>
    </w:rPr>
  </w:style>
  <w:style w:type="paragraph" w:styleId="CommentText">
    <w:name w:val="annotation text"/>
    <w:basedOn w:val="Normal"/>
    <w:link w:val="CommentTextChar"/>
    <w:rsid w:val="00DD3B31"/>
  </w:style>
  <w:style w:type="character" w:customStyle="1" w:styleId="CommentTextChar">
    <w:name w:val="Comment Text Char"/>
    <w:basedOn w:val="DefaultParagraphFont"/>
    <w:link w:val="CommentText"/>
    <w:rsid w:val="00DD3B31"/>
    <w:rPr>
      <w:rFonts w:eastAsia="BatangChe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D3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3B31"/>
    <w:rPr>
      <w:rFonts w:eastAsia="BatangChe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DD3B31"/>
    <w:pPr>
      <w:widowControl w:val="0"/>
      <w:tabs>
        <w:tab w:val="left" w:pos="540"/>
      </w:tabs>
      <w:wordWrap w:val="0"/>
      <w:adjustRightInd w:val="0"/>
      <w:spacing w:line="360" w:lineRule="atLeast"/>
      <w:jc w:val="center"/>
      <w:textAlignment w:val="baseline"/>
    </w:pPr>
    <w:rPr>
      <w:rFonts w:eastAsia="GulimChe"/>
      <w:b/>
      <w:sz w:val="28"/>
      <w:szCs w:val="20"/>
      <w:lang w:eastAsia="ko-KR"/>
    </w:rPr>
  </w:style>
  <w:style w:type="character" w:customStyle="1" w:styleId="TitleChar">
    <w:name w:val="Title Char"/>
    <w:basedOn w:val="DefaultParagraphFont"/>
    <w:link w:val="Title"/>
    <w:rsid w:val="00DD3B31"/>
    <w:rPr>
      <w:rFonts w:eastAsia="GulimChe"/>
      <w:b/>
      <w:sz w:val="28"/>
      <w:lang w:eastAsia="ko-KR"/>
    </w:rPr>
  </w:style>
  <w:style w:type="paragraph" w:styleId="BodyTextIndent">
    <w:name w:val="Body Text Indent"/>
    <w:basedOn w:val="Normal"/>
    <w:link w:val="BodyTextIndent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621" w:hanging="621"/>
      <w:textAlignment w:val="baseline"/>
    </w:pPr>
    <w:rPr>
      <w:rFonts w:ascii="Arial" w:eastAsia="MS Gothic" w:hAnsi="Arial"/>
      <w:color w:val="999999"/>
      <w:kern w:val="2"/>
      <w:sz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DD3B31"/>
    <w:rPr>
      <w:rFonts w:ascii="Arial" w:eastAsia="MS Gothic" w:hAnsi="Arial"/>
      <w:color w:val="999999"/>
      <w:kern w:val="2"/>
      <w:sz w:val="21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DD3B31"/>
    <w:pPr>
      <w:widowControl w:val="0"/>
      <w:tabs>
        <w:tab w:val="left" w:pos="48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Chars="28" w:left="59"/>
      <w:textAlignment w:val="baseline"/>
    </w:pPr>
    <w:rPr>
      <w:rFonts w:ascii="Arial" w:eastAsia="MS Gothic" w:hAnsi="Arial"/>
      <w:kern w:val="2"/>
      <w:sz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DD3B31"/>
    <w:rPr>
      <w:rFonts w:ascii="Arial" w:eastAsia="MS Gothic" w:hAnsi="Arial"/>
      <w:kern w:val="2"/>
      <w:sz w:val="21"/>
      <w:szCs w:val="24"/>
      <w:lang w:eastAsia="ja-JP"/>
    </w:rPr>
  </w:style>
  <w:style w:type="paragraph" w:styleId="BodyText3">
    <w:name w:val="Body Text 3"/>
    <w:basedOn w:val="Normal"/>
    <w:link w:val="BodyText3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Chars="95" w:left="199" w:firstLineChars="67" w:firstLine="141"/>
      <w:textAlignment w:val="baseline"/>
    </w:pPr>
    <w:rPr>
      <w:rFonts w:ascii="Arial" w:eastAsia="MS Gothic" w:hAnsi="Arial"/>
      <w:kern w:val="2"/>
      <w:sz w:val="21"/>
      <w:lang w:eastAsia="ja-JP"/>
    </w:rPr>
  </w:style>
  <w:style w:type="character" w:customStyle="1" w:styleId="BodyText3Char">
    <w:name w:val="Body Text 3 Char"/>
    <w:basedOn w:val="DefaultParagraphFont"/>
    <w:link w:val="BodyText3"/>
    <w:rsid w:val="00DD3B31"/>
    <w:rPr>
      <w:rFonts w:ascii="Arial" w:eastAsia="MS Gothic" w:hAnsi="Arial"/>
      <w:kern w:val="2"/>
      <w:sz w:val="21"/>
      <w:szCs w:val="24"/>
      <w:lang w:eastAsia="ja-JP"/>
    </w:rPr>
  </w:style>
  <w:style w:type="character" w:customStyle="1" w:styleId="Heading8Char">
    <w:name w:val="Heading 8 Char"/>
    <w:link w:val="Heading8"/>
    <w:rsid w:val="00DD3B31"/>
    <w:rPr>
      <w:rFonts w:eastAsia="BatangChe"/>
      <w:b/>
      <w:bCs/>
      <w:kern w:val="2"/>
      <w:lang w:eastAsia="ko-KR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link w:val="Heading1"/>
    <w:rsid w:val="00DD3B31"/>
    <w:rPr>
      <w:rFonts w:eastAsia="BatangChe"/>
      <w:b/>
      <w:bCs/>
      <w:sz w:val="24"/>
      <w:szCs w:val="24"/>
      <w:u w:val="single"/>
    </w:rPr>
  </w:style>
  <w:style w:type="paragraph" w:customStyle="1" w:styleId="Artheading">
    <w:name w:val="Art_heading"/>
    <w:basedOn w:val="Normal"/>
    <w:next w:val="Normalaftertitle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Normalaftertitle">
    <w:name w:val="Normal_after_title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MS Mincho"/>
      <w:szCs w:val="20"/>
      <w:lang w:val="en-GB"/>
    </w:rPr>
  </w:style>
  <w:style w:type="paragraph" w:customStyle="1" w:styleId="ChapNo">
    <w:name w:val="Chap_No"/>
    <w:basedOn w:val="Normal"/>
    <w:next w:val="Chap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caps/>
      <w:sz w:val="28"/>
      <w:szCs w:val="20"/>
      <w:lang w:val="en-GB"/>
    </w:rPr>
  </w:style>
  <w:style w:type="paragraph" w:customStyle="1" w:styleId="Chaptitle">
    <w:name w:val="Chap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aftertitle"/>
    <w:rsid w:val="00DD3B31"/>
  </w:style>
  <w:style w:type="paragraph" w:customStyle="1" w:styleId="AnnexNotitle">
    <w:name w:val="Annex_No &amp; 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ASN1">
    <w:name w:val="ASN.1"/>
    <w:basedOn w:val="Normal"/>
    <w:rsid w:val="00DD3B31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b/>
      <w:noProof/>
      <w:sz w:val="20"/>
      <w:szCs w:val="20"/>
      <w:lang w:val="en-GB"/>
    </w:rPr>
  </w:style>
  <w:style w:type="paragraph" w:customStyle="1" w:styleId="Headingi">
    <w:name w:val="Heading_i"/>
    <w:basedOn w:val="Normal"/>
    <w:next w:val="Normal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i/>
      <w:szCs w:val="20"/>
      <w:lang w:val="en-GB"/>
    </w:rPr>
  </w:style>
  <w:style w:type="paragraph" w:customStyle="1" w:styleId="ArtNo">
    <w:name w:val="Art_No"/>
    <w:basedOn w:val="Normal"/>
    <w:next w:val="Art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enumlev2">
    <w:name w:val="enumlev2"/>
    <w:basedOn w:val="enumlev1"/>
    <w:rsid w:val="00DD3B31"/>
    <w:pPr>
      <w:tabs>
        <w:tab w:val="clear" w:pos="1134"/>
        <w:tab w:val="clear" w:pos="1871"/>
        <w:tab w:val="clear" w:pos="2608"/>
        <w:tab w:val="clear" w:pos="3345"/>
        <w:tab w:val="left" w:pos="794"/>
        <w:tab w:val="left" w:pos="1191"/>
        <w:tab w:val="left" w:pos="1588"/>
        <w:tab w:val="left" w:pos="1985"/>
      </w:tabs>
      <w:ind w:left="1191" w:hanging="397"/>
      <w:jc w:val="left"/>
    </w:pPr>
    <w:rPr>
      <w:rFonts w:eastAsia="MS Mincho"/>
      <w:lang w:eastAsia="en-US"/>
    </w:rPr>
  </w:style>
  <w:style w:type="paragraph" w:customStyle="1" w:styleId="enumlev3">
    <w:name w:val="enumlev3"/>
    <w:basedOn w:val="enumlev2"/>
    <w:rsid w:val="00DD3B31"/>
    <w:pPr>
      <w:ind w:left="1588"/>
    </w:pPr>
  </w:style>
  <w:style w:type="paragraph" w:customStyle="1" w:styleId="Equationlegend">
    <w:name w:val="Equation_legend"/>
    <w:basedOn w:val="Normal"/>
    <w:rsid w:val="00DD3B31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rFonts w:eastAsia="MS Mincho"/>
      <w:szCs w:val="20"/>
      <w:lang w:val="en-GB"/>
    </w:rPr>
  </w:style>
  <w:style w:type="paragraph" w:customStyle="1" w:styleId="Figurelegend">
    <w:name w:val="Figure_legend"/>
    <w:basedOn w:val="Normal"/>
    <w:rsid w:val="00DD3B31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MS Mincho"/>
      <w:sz w:val="18"/>
      <w:szCs w:val="20"/>
      <w:lang w:val="en-GB"/>
    </w:rPr>
  </w:style>
  <w:style w:type="paragraph" w:customStyle="1" w:styleId="Figure0">
    <w:name w:val="Figure"/>
    <w:basedOn w:val="Normal"/>
    <w:next w:val="FigureNo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FigureNotitle">
    <w:name w:val="Figure_No &amp; title"/>
    <w:basedOn w:val="Normal"/>
    <w:next w:val="Normalaftertitle"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Figurewithouttitle">
    <w:name w:val="Figure_without_title"/>
    <w:basedOn w:val="Normal"/>
    <w:next w:val="Normalaftertitle"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FirstFooter">
    <w:name w:val="FirstFooter"/>
    <w:basedOn w:val="Footer"/>
    <w:rsid w:val="00DD3B31"/>
    <w:pPr>
      <w:tabs>
        <w:tab w:val="clear" w:pos="4320"/>
        <w:tab w:val="clear" w:pos="8640"/>
      </w:tabs>
      <w:spacing w:before="40"/>
    </w:pPr>
    <w:rPr>
      <w:rFonts w:eastAsia="MS Mincho"/>
      <w:sz w:val="16"/>
      <w:szCs w:val="20"/>
      <w:lang w:val="en-GB"/>
    </w:rPr>
  </w:style>
  <w:style w:type="paragraph" w:styleId="Index1">
    <w:name w:val="index 1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/>
    </w:rPr>
  </w:style>
  <w:style w:type="paragraph" w:styleId="Index2">
    <w:name w:val="index 2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83"/>
      <w:textAlignment w:val="baseline"/>
    </w:pPr>
    <w:rPr>
      <w:rFonts w:eastAsia="MS Mincho"/>
      <w:szCs w:val="20"/>
      <w:lang w:val="en-GB"/>
    </w:rPr>
  </w:style>
  <w:style w:type="paragraph" w:styleId="Index3">
    <w:name w:val="index 3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566"/>
      <w:textAlignment w:val="baseline"/>
    </w:pPr>
    <w:rPr>
      <w:rFonts w:eastAsia="MS Mincho"/>
      <w:szCs w:val="20"/>
      <w:lang w:val="en-GB"/>
    </w:rPr>
  </w:style>
  <w:style w:type="paragraph" w:customStyle="1" w:styleId="PartNo">
    <w:name w:val="Part_No"/>
    <w:basedOn w:val="Normal"/>
    <w:next w:val="Partref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Partref">
    <w:name w:val="Part_ref"/>
    <w:basedOn w:val="Normal"/>
    <w:next w:val="Part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Parttitle">
    <w:name w:val="Part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ection1">
    <w:name w:val="Section_1"/>
    <w:basedOn w:val="Normal"/>
    <w:next w:val="Normal"/>
    <w:rsid w:val="00DD3B31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Recref">
    <w:name w:val="Rec_ref"/>
    <w:basedOn w:val="Normal"/>
    <w:next w:val="Recdate"/>
    <w:rsid w:val="00DD3B31"/>
    <w:pPr>
      <w:keepNext/>
      <w:keepLine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MS Mincho"/>
      <w:i/>
      <w:szCs w:val="20"/>
      <w:lang w:val="en-GB"/>
    </w:rPr>
  </w:style>
  <w:style w:type="paragraph" w:customStyle="1" w:styleId="Recdate">
    <w:name w:val="Rec_date"/>
    <w:basedOn w:val="Normal"/>
    <w:next w:val="Normalaftertitle"/>
    <w:rsid w:val="00DD3B31"/>
    <w:pPr>
      <w:keepNext/>
      <w:keepLines/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MS Mincho"/>
      <w:i/>
      <w:sz w:val="22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DD3B31"/>
  </w:style>
  <w:style w:type="paragraph" w:customStyle="1" w:styleId="QuestionNo">
    <w:name w:val="Question_No"/>
    <w:basedOn w:val="RecNo"/>
    <w:next w:val="Questiontitle"/>
    <w:rsid w:val="00DD3B31"/>
  </w:style>
  <w:style w:type="paragraph" w:customStyle="1" w:styleId="RecNo">
    <w:name w:val="Rec_No"/>
    <w:basedOn w:val="Normal"/>
    <w:next w:val="Rec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Rectitle">
    <w:name w:val="Rec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Questiontitle">
    <w:name w:val="Question_title"/>
    <w:basedOn w:val="Rectitle"/>
    <w:next w:val="Questionref"/>
    <w:rsid w:val="00DD3B31"/>
  </w:style>
  <w:style w:type="paragraph" w:customStyle="1" w:styleId="Questionref">
    <w:name w:val="Question_ref"/>
    <w:basedOn w:val="Recref"/>
    <w:next w:val="Questiondate"/>
    <w:rsid w:val="00DD3B31"/>
  </w:style>
  <w:style w:type="paragraph" w:customStyle="1" w:styleId="Reftext">
    <w:name w:val="Ref_text"/>
    <w:basedOn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rFonts w:eastAsia="MS Mincho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DD3B31"/>
  </w:style>
  <w:style w:type="paragraph" w:customStyle="1" w:styleId="RepNo">
    <w:name w:val="Rep_No"/>
    <w:basedOn w:val="RecNo"/>
    <w:next w:val="Reptitle"/>
    <w:rsid w:val="00DD3B31"/>
  </w:style>
  <w:style w:type="paragraph" w:customStyle="1" w:styleId="Reptitle">
    <w:name w:val="Rep_title"/>
    <w:basedOn w:val="Rectitle"/>
    <w:next w:val="Repref"/>
    <w:rsid w:val="00DD3B31"/>
  </w:style>
  <w:style w:type="paragraph" w:customStyle="1" w:styleId="Repref">
    <w:name w:val="Rep_ref"/>
    <w:basedOn w:val="Recref"/>
    <w:next w:val="Repdate"/>
    <w:rsid w:val="00DD3B31"/>
  </w:style>
  <w:style w:type="paragraph" w:customStyle="1" w:styleId="Resdate">
    <w:name w:val="Res_date"/>
    <w:basedOn w:val="Recdate"/>
    <w:next w:val="Normalaftertitle"/>
    <w:rsid w:val="00DD3B31"/>
  </w:style>
  <w:style w:type="paragraph" w:customStyle="1" w:styleId="ResNo">
    <w:name w:val="Res_No"/>
    <w:basedOn w:val="RecNo"/>
    <w:next w:val="Restitle"/>
    <w:rsid w:val="00DD3B31"/>
  </w:style>
  <w:style w:type="paragraph" w:customStyle="1" w:styleId="Restitle">
    <w:name w:val="Res_title"/>
    <w:basedOn w:val="Rectitle"/>
    <w:next w:val="Resref0"/>
    <w:link w:val="RestitleChar"/>
    <w:rsid w:val="00DD3B31"/>
    <w:rPr>
      <w:lang w:eastAsia="x-none"/>
    </w:rPr>
  </w:style>
  <w:style w:type="paragraph" w:customStyle="1" w:styleId="Resref0">
    <w:name w:val="Res_ref"/>
    <w:basedOn w:val="Recref"/>
    <w:next w:val="Resdate"/>
    <w:rsid w:val="00DD3B31"/>
  </w:style>
  <w:style w:type="paragraph" w:customStyle="1" w:styleId="SectionNo">
    <w:name w:val="Section_No"/>
    <w:basedOn w:val="Normal"/>
    <w:next w:val="Section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Sectiontitle">
    <w:name w:val="Section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ource">
    <w:name w:val="Source"/>
    <w:basedOn w:val="Normal"/>
    <w:next w:val="Normalaftertitle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DD3B31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16"/>
      <w:szCs w:val="20"/>
      <w:lang w:val="en-GB"/>
    </w:rPr>
  </w:style>
  <w:style w:type="paragraph" w:customStyle="1" w:styleId="Tablehead0">
    <w:name w:val="Table_head"/>
    <w:basedOn w:val="Normal"/>
    <w:next w:val="Tabletext"/>
    <w:rsid w:val="00DD3B3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MS Mincho"/>
      <w:b/>
      <w:sz w:val="22"/>
      <w:szCs w:val="20"/>
      <w:lang w:val="en-GB"/>
    </w:rPr>
  </w:style>
  <w:style w:type="paragraph" w:customStyle="1" w:styleId="Tablelegend">
    <w:name w:val="Table_legend"/>
    <w:basedOn w:val="Normal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20" w:after="40"/>
      <w:textAlignment w:val="baseline"/>
    </w:pPr>
    <w:rPr>
      <w:rFonts w:eastAsia="MS Mincho"/>
      <w:sz w:val="22"/>
      <w:szCs w:val="20"/>
      <w:lang w:val="en-GB"/>
    </w:rPr>
  </w:style>
  <w:style w:type="character" w:styleId="EndnoteReference">
    <w:name w:val="endnote reference"/>
    <w:rsid w:val="00DD3B31"/>
    <w:rPr>
      <w:vertAlign w:val="superscript"/>
    </w:rPr>
  </w:style>
  <w:style w:type="paragraph" w:customStyle="1" w:styleId="TableNotitle">
    <w:name w:val="Table_No &amp; title"/>
    <w:basedOn w:val="Normal"/>
    <w:next w:val="Tablehead0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Title1">
    <w:name w:val="Title 1"/>
    <w:basedOn w:val="Source"/>
    <w:next w:val="Title2"/>
    <w:rsid w:val="00DD3B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D3B31"/>
  </w:style>
  <w:style w:type="paragraph" w:customStyle="1" w:styleId="Title3">
    <w:name w:val="Title 3"/>
    <w:basedOn w:val="Title2"/>
    <w:next w:val="Title4"/>
    <w:rsid w:val="00DD3B31"/>
    <w:rPr>
      <w:caps w:val="0"/>
    </w:rPr>
  </w:style>
  <w:style w:type="paragraph" w:customStyle="1" w:styleId="Title4">
    <w:name w:val="Title 4"/>
    <w:basedOn w:val="Title3"/>
    <w:next w:val="Heading1"/>
    <w:rsid w:val="00DD3B31"/>
    <w:rPr>
      <w:b/>
    </w:rPr>
  </w:style>
  <w:style w:type="paragraph" w:customStyle="1" w:styleId="toc0">
    <w:name w:val="toc 0"/>
    <w:basedOn w:val="Normal"/>
    <w:next w:val="TOC1"/>
    <w:rsid w:val="00DD3B31"/>
    <w:pPr>
      <w:tabs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b/>
      <w:szCs w:val="20"/>
      <w:lang w:val="en-GB"/>
    </w:rPr>
  </w:style>
  <w:style w:type="paragraph" w:styleId="TOC1">
    <w:name w:val="toc 1"/>
    <w:basedOn w:val="Normal"/>
    <w:rsid w:val="00DD3B31"/>
    <w:pPr>
      <w:keepLines/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MS Mincho"/>
      <w:szCs w:val="20"/>
      <w:lang w:val="en-GB"/>
    </w:rPr>
  </w:style>
  <w:style w:type="paragraph" w:styleId="TOC2">
    <w:name w:val="toc 2"/>
    <w:basedOn w:val="TOC1"/>
    <w:rsid w:val="00DD3B31"/>
    <w:pPr>
      <w:spacing w:before="80"/>
      <w:ind w:left="1531" w:hanging="851"/>
    </w:pPr>
  </w:style>
  <w:style w:type="paragraph" w:styleId="TOC3">
    <w:name w:val="toc 3"/>
    <w:basedOn w:val="TOC2"/>
    <w:rsid w:val="00DD3B31"/>
  </w:style>
  <w:style w:type="paragraph" w:styleId="TOC4">
    <w:name w:val="toc 4"/>
    <w:basedOn w:val="TOC3"/>
    <w:rsid w:val="00DD3B31"/>
  </w:style>
  <w:style w:type="paragraph" w:styleId="TOC5">
    <w:name w:val="toc 5"/>
    <w:basedOn w:val="TOC4"/>
    <w:rsid w:val="00DD3B31"/>
  </w:style>
  <w:style w:type="paragraph" w:styleId="TOC6">
    <w:name w:val="toc 6"/>
    <w:basedOn w:val="TOC4"/>
    <w:rsid w:val="00DD3B31"/>
  </w:style>
  <w:style w:type="paragraph" w:styleId="TOC7">
    <w:name w:val="toc 7"/>
    <w:basedOn w:val="TOC4"/>
    <w:rsid w:val="00DD3B31"/>
  </w:style>
  <w:style w:type="paragraph" w:styleId="TOC8">
    <w:name w:val="toc 8"/>
    <w:basedOn w:val="TOC4"/>
    <w:rsid w:val="00DD3B31"/>
  </w:style>
  <w:style w:type="character" w:customStyle="1" w:styleId="Appdef">
    <w:name w:val="App_def"/>
    <w:rsid w:val="00DD3B3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D3B31"/>
  </w:style>
  <w:style w:type="character" w:customStyle="1" w:styleId="Artdef">
    <w:name w:val="Art_def"/>
    <w:rsid w:val="00DD3B31"/>
    <w:rPr>
      <w:rFonts w:ascii="Times New Roman" w:hAnsi="Times New Roman"/>
      <w:b/>
    </w:rPr>
  </w:style>
  <w:style w:type="paragraph" w:customStyle="1" w:styleId="Reftitle">
    <w:name w:val="Ref_title"/>
    <w:basedOn w:val="Normal"/>
    <w:next w:val="Reftext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Cs w:val="20"/>
      <w:lang w:val="en-GB"/>
    </w:rPr>
  </w:style>
  <w:style w:type="character" w:customStyle="1" w:styleId="Resdef">
    <w:name w:val="Res_def"/>
    <w:rsid w:val="00DD3B31"/>
    <w:rPr>
      <w:rFonts w:ascii="Times New Roman" w:hAnsi="Times New Roman"/>
      <w:b/>
    </w:rPr>
  </w:style>
  <w:style w:type="character" w:customStyle="1" w:styleId="Tablefreq">
    <w:name w:val="Table_freq"/>
    <w:rsid w:val="00DD3B31"/>
    <w:rPr>
      <w:b/>
      <w:color w:val="auto"/>
    </w:rPr>
  </w:style>
  <w:style w:type="paragraph" w:customStyle="1" w:styleId="Formal">
    <w:name w:val="Formal"/>
    <w:basedOn w:val="ASN1"/>
    <w:rsid w:val="00DD3B31"/>
    <w:rPr>
      <w:b w:val="0"/>
    </w:rPr>
  </w:style>
  <w:style w:type="paragraph" w:customStyle="1" w:styleId="FooterQP">
    <w:name w:val="Footer_QP"/>
    <w:basedOn w:val="Normal"/>
    <w:rsid w:val="00DD3B31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2"/>
      <w:szCs w:val="20"/>
      <w:lang w:val="en-GB"/>
    </w:rPr>
  </w:style>
  <w:style w:type="paragraph" w:customStyle="1" w:styleId="Headingb">
    <w:name w:val="Heading_b"/>
    <w:basedOn w:val="Normal"/>
    <w:next w:val="Normal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DD3B31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i/>
      <w:szCs w:val="20"/>
      <w:lang w:val="en-GB"/>
    </w:rPr>
  </w:style>
  <w:style w:type="paragraph" w:customStyle="1" w:styleId="RecNoBR">
    <w:name w:val="Rec_No_BR"/>
    <w:basedOn w:val="Normal"/>
    <w:next w:val="Rec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DD3B31"/>
  </w:style>
  <w:style w:type="paragraph" w:customStyle="1" w:styleId="RepNoBR">
    <w:name w:val="Rep_No_BR"/>
    <w:basedOn w:val="RecNoBR"/>
    <w:next w:val="Reptitle"/>
    <w:rsid w:val="00DD3B31"/>
  </w:style>
  <w:style w:type="paragraph" w:customStyle="1" w:styleId="ResNoBR">
    <w:name w:val="Res_No_BR"/>
    <w:basedOn w:val="RecNoBR"/>
    <w:next w:val="Restitle"/>
    <w:rsid w:val="00DD3B31"/>
  </w:style>
  <w:style w:type="paragraph" w:customStyle="1" w:styleId="TabletitleBR">
    <w:name w:val="Table_title_BR"/>
    <w:basedOn w:val="Normal"/>
    <w:next w:val="Tablehead0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TableNoBR">
    <w:name w:val="Table_No_BR"/>
    <w:basedOn w:val="Normal"/>
    <w:next w:val="TabletitleBR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  <w:szCs w:val="20"/>
      <w:lang w:val="en-GB"/>
    </w:rPr>
  </w:style>
  <w:style w:type="paragraph" w:customStyle="1" w:styleId="Tableref">
    <w:name w:val="Table_ref"/>
    <w:basedOn w:val="Normal"/>
    <w:next w:val="TabletitleBR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MS Mincho"/>
      <w:szCs w:val="20"/>
      <w:lang w:val="en-GB"/>
    </w:rPr>
  </w:style>
  <w:style w:type="character" w:customStyle="1" w:styleId="Recdef">
    <w:name w:val="Rec_def"/>
    <w:rsid w:val="00DD3B31"/>
    <w:rPr>
      <w:b/>
    </w:rPr>
  </w:style>
  <w:style w:type="paragraph" w:customStyle="1" w:styleId="FiguretitleBR">
    <w:name w:val="Figure_title_BR"/>
    <w:basedOn w:val="TabletitleBR"/>
    <w:next w:val="Figurewithouttitle"/>
    <w:rsid w:val="00DD3B3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MS Mincho"/>
      <w:caps/>
      <w:szCs w:val="20"/>
      <w:lang w:val="en-GB"/>
    </w:rPr>
  </w:style>
  <w:style w:type="paragraph" w:customStyle="1" w:styleId="AppendixNoTitle0">
    <w:name w:val="Appendix_No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 w:cs="Angsana New"/>
      <w:b/>
      <w:sz w:val="28"/>
      <w:szCs w:val="20"/>
      <w:lang w:val="en-GB"/>
    </w:rPr>
  </w:style>
  <w:style w:type="character" w:styleId="Hyperlink">
    <w:name w:val="Hyperlink"/>
    <w:rsid w:val="00DD3B31"/>
    <w:rPr>
      <w:color w:val="0000FF"/>
      <w:u w:val="single"/>
    </w:rPr>
  </w:style>
  <w:style w:type="paragraph" w:customStyle="1" w:styleId="Heading8a">
    <w:name w:val="Heading 8a"/>
    <w:basedOn w:val="Heading8"/>
    <w:next w:val="Normal"/>
    <w:rsid w:val="00DD3B31"/>
    <w:pPr>
      <w:keepLines/>
      <w:widowControl/>
      <w:tabs>
        <w:tab w:val="left" w:pos="1418"/>
      </w:tabs>
      <w:wordWrap/>
      <w:overflowPunct w:val="0"/>
      <w:autoSpaceDE w:val="0"/>
      <w:autoSpaceDN w:val="0"/>
      <w:adjustRightInd w:val="0"/>
      <w:spacing w:before="200"/>
      <w:ind w:left="1418" w:hanging="1418"/>
      <w:jc w:val="left"/>
      <w:textAlignment w:val="baseline"/>
    </w:pPr>
    <w:rPr>
      <w:rFonts w:eastAsia="MS Mincho"/>
      <w:bCs w:val="0"/>
      <w:kern w:val="0"/>
      <w:sz w:val="24"/>
      <w:lang w:val="en-GB" w:eastAsia="en-US"/>
    </w:rPr>
  </w:style>
  <w:style w:type="paragraph" w:customStyle="1" w:styleId="TableNo">
    <w:name w:val="Table_No"/>
    <w:basedOn w:val="Normal"/>
    <w:next w:val="Tabletitle0"/>
    <w:rsid w:val="00DD3B3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  <w:sz w:val="20"/>
      <w:szCs w:val="20"/>
      <w:lang w:val="en-GB"/>
    </w:rPr>
  </w:style>
  <w:style w:type="paragraph" w:customStyle="1" w:styleId="Tabletitle0">
    <w:name w:val="Table_title"/>
    <w:basedOn w:val="Normal"/>
    <w:next w:val="Tabletext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  <w:sz w:val="20"/>
      <w:szCs w:val="20"/>
      <w:lang w:val="en-GB"/>
    </w:rPr>
  </w:style>
  <w:style w:type="paragraph" w:customStyle="1" w:styleId="Annextitle">
    <w:name w:val="Annex_title"/>
    <w:basedOn w:val="Normal"/>
    <w:next w:val="Normal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8"/>
      <w:szCs w:val="20"/>
      <w:lang w:val="en-GB"/>
    </w:rPr>
  </w:style>
  <w:style w:type="paragraph" w:customStyle="1" w:styleId="AnnexNo">
    <w:name w:val="Annex_No"/>
    <w:basedOn w:val="Normal"/>
    <w:next w:val="Normal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Reasons">
    <w:name w:val="Reasons"/>
    <w:basedOn w:val="Normal"/>
    <w:link w:val="ReasonsChar"/>
    <w:rsid w:val="00DD3B31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 w:eastAsia="x-none"/>
    </w:rPr>
  </w:style>
  <w:style w:type="paragraph" w:customStyle="1" w:styleId="Proposal">
    <w:name w:val="Proposal"/>
    <w:basedOn w:val="Normal"/>
    <w:next w:val="Normal"/>
    <w:rsid w:val="00DD3B3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eastAsia="MS Mincho" w:hAnsi="Times New Roman Bold" w:cs="Times New Roman Bold"/>
      <w:b/>
      <w:szCs w:val="20"/>
      <w:lang w:val="en-GB"/>
    </w:rPr>
  </w:style>
  <w:style w:type="character" w:customStyle="1" w:styleId="ReasonsChar">
    <w:name w:val="Reasons Char"/>
    <w:link w:val="Reasons"/>
    <w:rsid w:val="00DD3B31"/>
    <w:rPr>
      <w:rFonts w:eastAsia="MS Mincho"/>
      <w:sz w:val="24"/>
      <w:lang w:val="en-GB"/>
    </w:rPr>
  </w:style>
  <w:style w:type="character" w:customStyle="1" w:styleId="href">
    <w:name w:val="href"/>
    <w:basedOn w:val="DefaultParagraphFont"/>
    <w:rsid w:val="00DD3B31"/>
  </w:style>
  <w:style w:type="paragraph" w:customStyle="1" w:styleId="Normalaftertitle0">
    <w:name w:val="Normal after title"/>
    <w:basedOn w:val="Normal"/>
    <w:next w:val="Normal"/>
    <w:rsid w:val="00DD3B3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MS Mincho"/>
      <w:szCs w:val="20"/>
      <w:lang w:val="en-GB"/>
    </w:rPr>
  </w:style>
  <w:style w:type="paragraph" w:customStyle="1" w:styleId="headingb0">
    <w:name w:val="heading_b"/>
    <w:basedOn w:val="Heading3"/>
    <w:next w:val="Normal"/>
    <w:rsid w:val="00DD3B31"/>
    <w:pPr>
      <w:tabs>
        <w:tab w:val="clear" w:pos="1191"/>
        <w:tab w:val="clear" w:pos="1588"/>
        <w:tab w:val="clear" w:pos="1985"/>
        <w:tab w:val="num" w:pos="720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200"/>
      <w:ind w:left="0" w:firstLine="0"/>
      <w:textAlignment w:val="auto"/>
      <w:outlineLvl w:val="9"/>
    </w:pPr>
    <w:rPr>
      <w:rFonts w:cs="Angsana New"/>
    </w:rPr>
  </w:style>
  <w:style w:type="paragraph" w:customStyle="1" w:styleId="Appendixtitle">
    <w:name w:val="Appendix_title"/>
    <w:basedOn w:val="Annextitle"/>
    <w:next w:val="Normal"/>
    <w:rsid w:val="00DD3B31"/>
  </w:style>
  <w:style w:type="paragraph" w:customStyle="1" w:styleId="AppendixNo">
    <w:name w:val="Appendix_No"/>
    <w:basedOn w:val="AnnexNo"/>
    <w:next w:val="Normal"/>
    <w:rsid w:val="00DD3B31"/>
  </w:style>
  <w:style w:type="paragraph" w:customStyle="1" w:styleId="AnnexNoTitle0">
    <w:name w:val="Annex_NoTitle"/>
    <w:basedOn w:val="Normal"/>
    <w:next w:val="Normalaftertitle"/>
    <w:link w:val="AnnexNoTitleChar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 w:eastAsia="x-none"/>
    </w:rPr>
  </w:style>
  <w:style w:type="character" w:customStyle="1" w:styleId="AnnexNoTitleChar">
    <w:name w:val="Annex_NoTitle Char"/>
    <w:link w:val="AnnexNoTitle0"/>
    <w:rsid w:val="00DD3B31"/>
    <w:rPr>
      <w:rFonts w:eastAsia="MS Mincho"/>
      <w:b/>
      <w:sz w:val="28"/>
      <w:lang w:val="en-GB"/>
    </w:rPr>
  </w:style>
  <w:style w:type="paragraph" w:customStyle="1" w:styleId="listitem">
    <w:name w:val="listitem"/>
    <w:basedOn w:val="Normal"/>
    <w:rsid w:val="00DD3B31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  <w:lang w:val="fr-FR"/>
    </w:rPr>
  </w:style>
  <w:style w:type="paragraph" w:customStyle="1" w:styleId="Style0">
    <w:name w:val="Style0"/>
    <w:basedOn w:val="Normal"/>
    <w:link w:val="Style0Char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eastAsia="MS Mincho"/>
      <w:b/>
      <w:bCs/>
      <w:color w:val="000000"/>
      <w:sz w:val="16"/>
      <w:szCs w:val="16"/>
      <w:lang w:val="en-GB" w:eastAsia="x-none"/>
    </w:rPr>
  </w:style>
  <w:style w:type="character" w:customStyle="1" w:styleId="Style0CharChar">
    <w:name w:val="Style0 Char Char"/>
    <w:link w:val="Style0"/>
    <w:rsid w:val="00DD3B31"/>
    <w:rPr>
      <w:rFonts w:eastAsia="MS Mincho"/>
      <w:b/>
      <w:bCs/>
      <w:color w:val="000000"/>
      <w:sz w:val="16"/>
      <w:szCs w:val="16"/>
      <w:lang w:val="en-GB"/>
    </w:rPr>
  </w:style>
  <w:style w:type="paragraph" w:customStyle="1" w:styleId="Style1notBold">
    <w:name w:val="Style1(not Bold)"/>
    <w:basedOn w:val="Normal"/>
    <w:link w:val="Style1notBold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ind w:left="85"/>
      <w:textAlignment w:val="baseline"/>
    </w:pPr>
    <w:rPr>
      <w:rFonts w:eastAsia="MS Mincho"/>
      <w:color w:val="000000"/>
      <w:sz w:val="16"/>
      <w:szCs w:val="16"/>
      <w:lang w:val="x-none" w:eastAsia="x-none"/>
    </w:rPr>
  </w:style>
  <w:style w:type="character" w:customStyle="1" w:styleId="Style1notBoldChar">
    <w:name w:val="Style1(not Bold) Char"/>
    <w:link w:val="Style1notBold"/>
    <w:rsid w:val="00DD3B31"/>
    <w:rPr>
      <w:rFonts w:eastAsia="MS Mincho"/>
      <w:color w:val="000000"/>
      <w:sz w:val="16"/>
      <w:szCs w:val="16"/>
    </w:rPr>
  </w:style>
  <w:style w:type="paragraph" w:customStyle="1" w:styleId="Style2notbold">
    <w:name w:val="Style2 (not bold)"/>
    <w:basedOn w:val="Style1notBold"/>
    <w:link w:val="Style2notboldChar"/>
    <w:rsid w:val="00DD3B31"/>
    <w:pPr>
      <w:ind w:left="227"/>
    </w:pPr>
  </w:style>
  <w:style w:type="character" w:customStyle="1" w:styleId="Style2notboldChar">
    <w:name w:val="Style2 (not bold) Char"/>
    <w:basedOn w:val="Style1notBoldChar"/>
    <w:link w:val="Style2notbold"/>
    <w:rsid w:val="00DD3B31"/>
    <w:rPr>
      <w:rFonts w:eastAsia="MS Mincho"/>
      <w:color w:val="000000"/>
      <w:sz w:val="16"/>
      <w:szCs w:val="16"/>
    </w:rPr>
  </w:style>
  <w:style w:type="paragraph" w:customStyle="1" w:styleId="Style3notbold">
    <w:name w:val="Style3 (not bold)"/>
    <w:basedOn w:val="Normal"/>
    <w:link w:val="Style3notbold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ind w:left="397"/>
      <w:textAlignment w:val="baseline"/>
    </w:pPr>
    <w:rPr>
      <w:rFonts w:eastAsia="MS Mincho"/>
      <w:sz w:val="16"/>
      <w:szCs w:val="20"/>
      <w:lang w:val="en-GB" w:eastAsia="x-none"/>
    </w:rPr>
  </w:style>
  <w:style w:type="character" w:customStyle="1" w:styleId="Style3notboldChar">
    <w:name w:val="Style3 (not bold) Char"/>
    <w:link w:val="Style3notbold"/>
    <w:rsid w:val="00DD3B31"/>
    <w:rPr>
      <w:rFonts w:eastAsia="MS Mincho"/>
      <w:sz w:val="16"/>
      <w:lang w:val="en-GB"/>
    </w:rPr>
  </w:style>
  <w:style w:type="paragraph" w:customStyle="1" w:styleId="Style4notbold">
    <w:name w:val="Style4 (not bold)"/>
    <w:basedOn w:val="Style3notbold"/>
    <w:link w:val="Style4notboldChar"/>
    <w:rsid w:val="00DD3B31"/>
    <w:pPr>
      <w:ind w:left="567"/>
    </w:pPr>
  </w:style>
  <w:style w:type="character" w:customStyle="1" w:styleId="Style4notboldChar">
    <w:name w:val="Style4 (not bold) Char"/>
    <w:basedOn w:val="Style3notboldChar"/>
    <w:link w:val="Style4notbold"/>
    <w:rsid w:val="00DD3B31"/>
    <w:rPr>
      <w:rFonts w:eastAsia="MS Mincho"/>
      <w:sz w:val="16"/>
      <w:lang w:val="en-GB"/>
    </w:rPr>
  </w:style>
  <w:style w:type="paragraph" w:customStyle="1" w:styleId="Style1">
    <w:name w:val="Style1"/>
    <w:basedOn w:val="Style0"/>
    <w:link w:val="Style1Char"/>
    <w:rsid w:val="00DD3B31"/>
    <w:rPr>
      <w:rFonts w:ascii="Times New Roman Bold" w:hAnsi="Times New Roman Bold"/>
    </w:rPr>
  </w:style>
  <w:style w:type="character" w:customStyle="1" w:styleId="Style1Char">
    <w:name w:val="Style1 Char"/>
    <w:link w:val="Style1"/>
    <w:rsid w:val="00DD3B31"/>
    <w:rPr>
      <w:rFonts w:ascii="Times New Roman Bold" w:eastAsia="MS Mincho" w:hAnsi="Times New Roman Bold"/>
      <w:b/>
      <w:bCs/>
      <w:color w:val="000000"/>
      <w:sz w:val="16"/>
      <w:szCs w:val="16"/>
      <w:lang w:val="en-GB"/>
    </w:rPr>
  </w:style>
  <w:style w:type="paragraph" w:customStyle="1" w:styleId="Tablefin">
    <w:name w:val="Table_fin"/>
    <w:basedOn w:val="Normal"/>
    <w:rsid w:val="00DD3B31"/>
    <w:pPr>
      <w:tabs>
        <w:tab w:val="left" w:pos="1871"/>
        <w:tab w:val="left" w:pos="2268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12"/>
      <w:szCs w:val="20"/>
      <w:lang w:val="fr-FR"/>
    </w:rPr>
  </w:style>
  <w:style w:type="character" w:customStyle="1" w:styleId="RestitleChar">
    <w:name w:val="Res_title Char"/>
    <w:link w:val="Restitle"/>
    <w:rsid w:val="00DD3B31"/>
    <w:rPr>
      <w:rFonts w:eastAsia="MS Mincho"/>
      <w:b/>
      <w:sz w:val="28"/>
      <w:lang w:val="en-GB"/>
    </w:rPr>
  </w:style>
  <w:style w:type="paragraph" w:customStyle="1" w:styleId="TabletextChar">
    <w:name w:val="Table_text Char"/>
    <w:basedOn w:val="Normal"/>
    <w:link w:val="TabletextCharChar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  <w:sz w:val="22"/>
      <w:szCs w:val="20"/>
      <w:lang w:val="en-GB" w:eastAsia="x-none"/>
    </w:rPr>
  </w:style>
  <w:style w:type="character" w:customStyle="1" w:styleId="TabletextCharChar">
    <w:name w:val="Table_text Char Char"/>
    <w:link w:val="TabletextChar"/>
    <w:rsid w:val="00DD3B31"/>
    <w:rPr>
      <w:rFonts w:eastAsia="MS Mincho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5158</Words>
  <Characters>29406</Characters>
  <Application>Microsoft Office Word</Application>
  <DocSecurity>0</DocSecurity>
  <Lines>245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34496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4</cp:revision>
  <cp:lastPrinted>2004-07-28T02:14:00Z</cp:lastPrinted>
  <dcterms:created xsi:type="dcterms:W3CDTF">2013-07-16T04:31:00Z</dcterms:created>
  <dcterms:modified xsi:type="dcterms:W3CDTF">2013-07-16T04:33:00Z</dcterms:modified>
</cp:coreProperties>
</file>