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932174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th-TH"/>
              </w:rPr>
              <w:drawing>
                <wp:inline distT="0" distB="0" distL="0" distR="0" wp14:anchorId="6A8465BA" wp14:editId="743F9112">
                  <wp:extent cx="762000" cy="666750"/>
                  <wp:effectExtent l="1905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C15799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0140BF">
            <w:pPr>
              <w:spacing w:line="0" w:lineRule="atLeast"/>
            </w:pPr>
            <w:r>
              <w:rPr>
                <w:b/>
              </w:rPr>
              <w:t xml:space="preserve">APT Conference Preparatory  Group for WRC-15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1989" w:rsidRPr="006D1989" w:rsidRDefault="006D1989" w:rsidP="006A4000">
            <w:pPr>
              <w:rPr>
                <w:rFonts w:eastAsiaTheme="minorEastAsia"/>
                <w:b/>
                <w:bCs/>
                <w:lang w:val="fr-FR" w:eastAsia="ja-JP"/>
              </w:rPr>
            </w:pPr>
          </w:p>
        </w:tc>
      </w:tr>
      <w:tr w:rsidR="00295D9B" w:rsidRPr="00891D0B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891D0B" w:rsidRDefault="00295D9B" w:rsidP="006A4000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712451" w:rsidRDefault="00295D9B" w:rsidP="006A4000">
            <w:pPr>
              <w:rPr>
                <w:b/>
              </w:rPr>
            </w:pPr>
          </w:p>
        </w:tc>
      </w:tr>
    </w:tbl>
    <w:p w:rsidR="00DA7595" w:rsidRDefault="000140BF" w:rsidP="00DA7595">
      <w:pPr>
        <w:rPr>
          <w:lang w:eastAsia="ko-KR"/>
        </w:rPr>
      </w:pPr>
      <w:r>
        <w:rPr>
          <w:lang w:eastAsia="ko-KR"/>
        </w:rPr>
        <w:t>Source: APG15-2/OUT-08(Rev.2)</w:t>
      </w:r>
    </w:p>
    <w:p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:rsidR="002A14B9" w:rsidRDefault="002A14B9" w:rsidP="0063062B">
      <w:pPr>
        <w:jc w:val="center"/>
        <w:rPr>
          <w:b/>
          <w:bCs/>
          <w:caps/>
          <w:sz w:val="28"/>
          <w:szCs w:val="28"/>
        </w:rPr>
      </w:pPr>
    </w:p>
    <w:p w:rsidR="00C357AD" w:rsidRPr="00D514A7" w:rsidRDefault="00D1252E" w:rsidP="0063062B">
      <w:pPr>
        <w:jc w:val="center"/>
        <w:rPr>
          <w:rFonts w:eastAsiaTheme="minorEastAsia"/>
          <w:b/>
          <w:bCs/>
          <w:caps/>
          <w:sz w:val="28"/>
          <w:szCs w:val="28"/>
          <w:lang w:eastAsia="ja-JP"/>
        </w:rPr>
      </w:pPr>
      <w:r>
        <w:rPr>
          <w:b/>
          <w:bCs/>
          <w:caps/>
          <w:sz w:val="28"/>
          <w:szCs w:val="28"/>
        </w:rPr>
        <w:t>preliminary v</w:t>
      </w:r>
      <w:r w:rsidR="001C610F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agenda item</w:t>
      </w:r>
      <w:r w:rsidR="0048051F">
        <w:rPr>
          <w:b/>
          <w:bCs/>
          <w:caps/>
          <w:sz w:val="28"/>
          <w:szCs w:val="28"/>
        </w:rPr>
        <w:t>s</w:t>
      </w:r>
      <w:bookmarkStart w:id="0" w:name="_GoBack"/>
      <w:bookmarkEnd w:id="0"/>
      <w:r w:rsidR="007A507E">
        <w:rPr>
          <w:b/>
          <w:bCs/>
          <w:caps/>
          <w:sz w:val="28"/>
          <w:szCs w:val="28"/>
        </w:rPr>
        <w:t xml:space="preserve"> </w:t>
      </w:r>
      <w:r w:rsidR="00D514A7">
        <w:rPr>
          <w:b/>
          <w:bCs/>
          <w:caps/>
          <w:sz w:val="28"/>
          <w:szCs w:val="28"/>
        </w:rPr>
        <w:t>9.1</w:t>
      </w:r>
      <w:r w:rsidR="000140BF">
        <w:rPr>
          <w:b/>
          <w:bCs/>
          <w:caps/>
          <w:sz w:val="28"/>
          <w:szCs w:val="28"/>
        </w:rPr>
        <w:t>.1, 9.1.2, 9.1.3 and 9.1.8</w:t>
      </w:r>
    </w:p>
    <w:p w:rsidR="00DB0A68" w:rsidRDefault="00DB0A68" w:rsidP="00C357AD">
      <w:pPr>
        <w:jc w:val="center"/>
      </w:pPr>
    </w:p>
    <w:p w:rsidR="00C357AD" w:rsidRDefault="00C357AD" w:rsidP="00C357AD">
      <w:pPr>
        <w:jc w:val="center"/>
        <w:rPr>
          <w:b/>
        </w:rPr>
      </w:pPr>
    </w:p>
    <w:p w:rsidR="00C357AD" w:rsidRDefault="00D514A7" w:rsidP="00C357AD">
      <w:pPr>
        <w:jc w:val="both"/>
        <w:rPr>
          <w:rFonts w:eastAsiaTheme="minorEastAsia"/>
          <w:b/>
          <w:lang w:eastAsia="ja-JP"/>
        </w:rPr>
      </w:pPr>
      <w:r>
        <w:rPr>
          <w:rFonts w:eastAsiaTheme="minorEastAsia" w:hint="eastAsia"/>
          <w:b/>
          <w:lang w:eastAsia="ja-JP"/>
        </w:rPr>
        <w:t>Agenda Item 9.1</w:t>
      </w:r>
      <w:r w:rsidR="00744FC9">
        <w:rPr>
          <w:rFonts w:eastAsiaTheme="minorEastAsia" w:hint="eastAsia"/>
          <w:b/>
          <w:lang w:eastAsia="ja-JP"/>
        </w:rPr>
        <w:t>:</w:t>
      </w:r>
    </w:p>
    <w:p w:rsidR="00D514A7" w:rsidRPr="00D514A7" w:rsidRDefault="00D514A7" w:rsidP="00D514A7">
      <w:pPr>
        <w:rPr>
          <w:i/>
        </w:rPr>
      </w:pPr>
      <w:r w:rsidRPr="00D514A7">
        <w:rPr>
          <w:i/>
        </w:rPr>
        <w:t>to consider and approve the Report of the Director of the Radiocommunication Bureau, in accordance with Article 7 of the Convention</w:t>
      </w:r>
      <w:r w:rsidRPr="00D514A7">
        <w:rPr>
          <w:rFonts w:eastAsiaTheme="minorEastAsia" w:hint="eastAsia"/>
          <w:i/>
          <w:lang w:eastAsia="ja-JP"/>
        </w:rPr>
        <w:t xml:space="preserve"> </w:t>
      </w:r>
      <w:r w:rsidRPr="00D514A7">
        <w:rPr>
          <w:i/>
        </w:rPr>
        <w:t>on the activities of the Radiocommunication Sector since WRC</w:t>
      </w:r>
      <w:r w:rsidRPr="00D514A7">
        <w:rPr>
          <w:i/>
        </w:rPr>
        <w:noBreakHyphen/>
        <w:t>12;</w:t>
      </w:r>
    </w:p>
    <w:p w:rsidR="00D2370E" w:rsidRPr="00D514A7" w:rsidRDefault="00D2370E" w:rsidP="00C357AD">
      <w:pPr>
        <w:jc w:val="both"/>
        <w:rPr>
          <w:rFonts w:eastAsiaTheme="minorEastAsia"/>
          <w:b/>
          <w:lang w:eastAsia="ja-JP"/>
        </w:rPr>
      </w:pPr>
    </w:p>
    <w:p w:rsidR="00D514A7" w:rsidRPr="00744FC9" w:rsidRDefault="00D514A7" w:rsidP="00D514A7">
      <w:pPr>
        <w:jc w:val="both"/>
        <w:rPr>
          <w:rFonts w:eastAsiaTheme="minorEastAsia"/>
          <w:lang w:eastAsia="ja-JP"/>
        </w:rPr>
      </w:pPr>
      <w:r w:rsidRPr="00DA3810">
        <w:rPr>
          <w:rFonts w:eastAsia="MS Mincho"/>
          <w:b/>
          <w:lang w:eastAsia="ja-JP"/>
        </w:rPr>
        <w:t>Issue</w:t>
      </w:r>
      <w:r>
        <w:rPr>
          <w:b/>
        </w:rPr>
        <w:t xml:space="preserve"> </w:t>
      </w:r>
      <w:r>
        <w:rPr>
          <w:rFonts w:eastAsia="MS Mincho" w:hint="eastAsia"/>
          <w:b/>
          <w:lang w:eastAsia="ja-JP"/>
        </w:rPr>
        <w:t>9.1</w:t>
      </w:r>
      <w:r>
        <w:rPr>
          <w:b/>
        </w:rPr>
        <w:t>.1</w:t>
      </w:r>
      <w:r w:rsidR="00744FC9">
        <w:rPr>
          <w:rFonts w:eastAsiaTheme="minorEastAsia" w:hint="eastAsia"/>
          <w:b/>
          <w:lang w:eastAsia="ja-JP"/>
        </w:rPr>
        <w:t>:</w:t>
      </w:r>
    </w:p>
    <w:p w:rsidR="000140BF" w:rsidRDefault="00D514A7" w:rsidP="000140BF">
      <w:pPr>
        <w:rPr>
          <w:lang w:val="en-AU"/>
        </w:rPr>
      </w:pPr>
      <w:r w:rsidRPr="009054F3">
        <w:rPr>
          <w:i/>
          <w:lang w:val="en-AU"/>
        </w:rPr>
        <w:t xml:space="preserve">Resolution </w:t>
      </w:r>
      <w:r w:rsidRPr="009054F3">
        <w:rPr>
          <w:b/>
          <w:i/>
          <w:lang w:val="en-AU"/>
        </w:rPr>
        <w:t>205 (Rev.WRC-12</w:t>
      </w:r>
      <w:r w:rsidR="00AC0BB8">
        <w:rPr>
          <w:rFonts w:eastAsiaTheme="minorEastAsia" w:hint="eastAsia"/>
          <w:b/>
          <w:i/>
          <w:lang w:val="en-AU" w:eastAsia="ja-JP"/>
        </w:rPr>
        <w:t>)</w:t>
      </w:r>
      <w:r w:rsidR="00AC0BB8">
        <w:rPr>
          <w:rFonts w:eastAsiaTheme="minorEastAsia" w:hint="eastAsia"/>
          <w:lang w:val="en-AU" w:eastAsia="ja-JP"/>
        </w:rPr>
        <w:t xml:space="preserve"> -</w:t>
      </w:r>
      <w:r w:rsidRPr="009054F3">
        <w:rPr>
          <w:i/>
          <w:lang w:val="en-AU"/>
        </w:rPr>
        <w:t xml:space="preserve"> Protection of the systems operating in the mobile- satellite service in the band 406-406.1 MHz</w:t>
      </w:r>
      <w:r w:rsidRPr="009054F3">
        <w:rPr>
          <w:i/>
          <w:lang w:val="en-AU"/>
        </w:rPr>
        <w:br/>
      </w:r>
    </w:p>
    <w:p w:rsidR="00D514A7" w:rsidRPr="000140BF" w:rsidRDefault="00D514A7" w:rsidP="000140BF">
      <w:r>
        <w:rPr>
          <w:b/>
        </w:rPr>
        <w:t>APT Preliminary Views:</w:t>
      </w:r>
    </w:p>
    <w:p w:rsidR="00D514A7" w:rsidRPr="000F1476" w:rsidRDefault="00D514A7" w:rsidP="000140BF">
      <w:pPr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F</w:t>
      </w:r>
      <w:r w:rsidRPr="006E7393">
        <w:t>urther studies are required</w:t>
      </w:r>
      <w:r>
        <w:rPr>
          <w:rFonts w:eastAsiaTheme="minorEastAsia" w:hint="eastAsia"/>
          <w:lang w:eastAsia="ja-JP"/>
        </w:rPr>
        <w:t xml:space="preserve"> on this issue</w:t>
      </w:r>
      <w:r w:rsidRPr="006E7393">
        <w:t xml:space="preserve">. APT members are </w:t>
      </w:r>
      <w:r>
        <w:rPr>
          <w:rFonts w:eastAsiaTheme="minorEastAsia" w:hint="eastAsia"/>
          <w:lang w:eastAsia="ja-JP"/>
        </w:rPr>
        <w:t>encouraged</w:t>
      </w:r>
      <w:r w:rsidRPr="006E7393">
        <w:t xml:space="preserve"> </w:t>
      </w:r>
      <w:r>
        <w:rPr>
          <w:rFonts w:eastAsiaTheme="minorEastAsia" w:hint="eastAsia"/>
          <w:lang w:eastAsia="ja-JP"/>
        </w:rPr>
        <w:t xml:space="preserve">to </w:t>
      </w:r>
      <w:r>
        <w:rPr>
          <w:rFonts w:eastAsia="MS Mincho" w:hint="eastAsia"/>
          <w:lang w:eastAsia="ja-JP"/>
        </w:rPr>
        <w:t xml:space="preserve">monitor and evaluate the studies conducted in ITU-R </w:t>
      </w:r>
      <w:r w:rsidRPr="006E7393">
        <w:t>and submit their contributions for further considerations in future meetings.</w:t>
      </w:r>
      <w:r>
        <w:rPr>
          <w:rFonts w:eastAsiaTheme="minorEastAsia" w:hint="eastAsia"/>
          <w:lang w:eastAsia="ja-JP"/>
        </w:rPr>
        <w:t xml:space="preserve"> All incumbent services to which the relevant bands are allocated should be protected for existing and planned assignments.</w:t>
      </w:r>
    </w:p>
    <w:p w:rsidR="00D514A7" w:rsidRDefault="00D514A7" w:rsidP="00C357AD">
      <w:pPr>
        <w:jc w:val="both"/>
        <w:rPr>
          <w:rFonts w:eastAsiaTheme="minorEastAsia"/>
          <w:b/>
          <w:lang w:eastAsia="ja-JP"/>
        </w:rPr>
      </w:pPr>
    </w:p>
    <w:p w:rsidR="00D514A7" w:rsidRPr="00D514A7" w:rsidRDefault="00D514A7" w:rsidP="00C357AD">
      <w:pPr>
        <w:jc w:val="both"/>
        <w:rPr>
          <w:rFonts w:eastAsiaTheme="minorEastAsia"/>
          <w:b/>
          <w:lang w:eastAsia="ja-JP"/>
        </w:rPr>
      </w:pPr>
    </w:p>
    <w:p w:rsidR="008319BF" w:rsidRPr="00744FC9" w:rsidRDefault="00D514A7" w:rsidP="00C357AD">
      <w:pPr>
        <w:jc w:val="both"/>
        <w:rPr>
          <w:rFonts w:eastAsiaTheme="minorEastAsia"/>
          <w:lang w:eastAsia="ja-JP"/>
        </w:rPr>
      </w:pPr>
      <w:r>
        <w:rPr>
          <w:rFonts w:eastAsiaTheme="minorEastAsia" w:hint="eastAsia"/>
          <w:b/>
          <w:lang w:eastAsia="ja-JP"/>
        </w:rPr>
        <w:t>Issue</w:t>
      </w:r>
      <w:r w:rsidR="000A5418">
        <w:rPr>
          <w:b/>
        </w:rPr>
        <w:t xml:space="preserve"> </w:t>
      </w:r>
      <w:r w:rsidR="00925F15">
        <w:rPr>
          <w:b/>
        </w:rPr>
        <w:t>9.1.2</w:t>
      </w:r>
      <w:r w:rsidR="00744FC9">
        <w:rPr>
          <w:rFonts w:eastAsiaTheme="minorEastAsia" w:hint="eastAsia"/>
          <w:b/>
          <w:lang w:eastAsia="ja-JP"/>
        </w:rPr>
        <w:t>:</w:t>
      </w:r>
    </w:p>
    <w:p w:rsidR="00925F15" w:rsidRPr="00AC0BB8" w:rsidRDefault="004B2F24" w:rsidP="00087455">
      <w:pPr>
        <w:rPr>
          <w:rFonts w:eastAsiaTheme="minorEastAsia"/>
          <w:i/>
          <w:lang w:eastAsia="ja-JP"/>
        </w:rPr>
      </w:pPr>
      <w:r>
        <w:rPr>
          <w:rFonts w:eastAsia="MS Mincho"/>
          <w:bCs/>
          <w:i/>
          <w:color w:val="000000" w:themeColor="text1"/>
          <w:lang w:eastAsia="ja-JP"/>
        </w:rPr>
        <w:t xml:space="preserve">Resolution </w:t>
      </w:r>
      <w:r w:rsidRPr="004B2F24">
        <w:rPr>
          <w:rFonts w:eastAsia="MS Mincho"/>
          <w:b/>
          <w:bCs/>
          <w:i/>
          <w:color w:val="000000" w:themeColor="text1"/>
          <w:lang w:eastAsia="ja-JP"/>
        </w:rPr>
        <w:t>756 (WRC-12)</w:t>
      </w:r>
      <w:r w:rsidR="00AC0BB8">
        <w:rPr>
          <w:rFonts w:eastAsiaTheme="minorEastAsia" w:hint="eastAsia"/>
          <w:bCs/>
          <w:color w:val="000000" w:themeColor="text1"/>
          <w:lang w:eastAsia="ja-JP"/>
        </w:rPr>
        <w:t xml:space="preserve"> -</w:t>
      </w:r>
      <w:r>
        <w:rPr>
          <w:rFonts w:eastAsia="MS Mincho"/>
          <w:bCs/>
          <w:i/>
          <w:color w:val="000000" w:themeColor="text1"/>
          <w:lang w:eastAsia="ja-JP"/>
        </w:rPr>
        <w:t xml:space="preserve"> S</w:t>
      </w:r>
      <w:r w:rsidR="00925F15" w:rsidRPr="004B2F24">
        <w:rPr>
          <w:rFonts w:eastAsia="MS Mincho" w:hint="eastAsia"/>
          <w:bCs/>
          <w:i/>
          <w:color w:val="000000" w:themeColor="text1"/>
          <w:lang w:eastAsia="ja-JP"/>
        </w:rPr>
        <w:t>tudies</w:t>
      </w:r>
      <w:r w:rsidR="00925F15" w:rsidRPr="004B2F24">
        <w:rPr>
          <w:rFonts w:eastAsia="MS Mincho"/>
          <w:bCs/>
          <w:i/>
          <w:color w:val="000000" w:themeColor="text1"/>
          <w:lang w:eastAsia="ja-JP"/>
        </w:rPr>
        <w:t xml:space="preserve"> on possible reduction of the coordination arc and technical criteria used</w:t>
      </w:r>
      <w:r w:rsidR="00925F15" w:rsidRPr="004B2F24">
        <w:rPr>
          <w:rFonts w:eastAsia="MS Mincho" w:hint="eastAsia"/>
          <w:bCs/>
          <w:i/>
          <w:color w:val="000000" w:themeColor="text1"/>
          <w:lang w:eastAsia="ja-JP"/>
        </w:rPr>
        <w:t xml:space="preserve"> </w:t>
      </w:r>
      <w:r w:rsidR="00925F15" w:rsidRPr="004B2F24">
        <w:rPr>
          <w:rFonts w:eastAsia="MS Mincho"/>
          <w:bCs/>
          <w:i/>
          <w:color w:val="000000" w:themeColor="text1"/>
          <w:lang w:eastAsia="ja-JP"/>
        </w:rPr>
        <w:t>in application of No. 9.41 in respect of coordination under No. 9.7</w:t>
      </w:r>
    </w:p>
    <w:p w:rsidR="000A5418" w:rsidRDefault="000A5418" w:rsidP="00C357AD">
      <w:pPr>
        <w:jc w:val="both"/>
      </w:pPr>
    </w:p>
    <w:p w:rsidR="006A02CF" w:rsidRPr="00B22DAC" w:rsidRDefault="006A02CF" w:rsidP="005D55ED">
      <w:pPr>
        <w:pStyle w:val="MTDisplayEquation"/>
        <w:numPr>
          <w:ilvl w:val="0"/>
          <w:numId w:val="0"/>
        </w:numPr>
        <w:spacing w:afterLines="50" w:after="120"/>
        <w:rPr>
          <w:b/>
        </w:rPr>
      </w:pPr>
      <w:r w:rsidRPr="00B22DAC">
        <w:rPr>
          <w:b/>
        </w:rPr>
        <w:t>APT Preliminary Views:</w:t>
      </w:r>
    </w:p>
    <w:p w:rsidR="002F24EB" w:rsidRDefault="00D81199" w:rsidP="005A1E26">
      <w:pPr>
        <w:tabs>
          <w:tab w:val="left" w:pos="284"/>
        </w:tabs>
        <w:ind w:leftChars="118" w:left="283"/>
        <w:rPr>
          <w:rFonts w:eastAsiaTheme="minorEastAsia"/>
          <w:lang w:val="en-AU" w:eastAsia="ja-JP"/>
        </w:rPr>
      </w:pPr>
      <w:r>
        <w:t xml:space="preserve">APT supports the </w:t>
      </w:r>
      <w:r w:rsidR="000F1837">
        <w:t xml:space="preserve">continuing studies within the ITU-R </w:t>
      </w:r>
      <w:r w:rsidR="000F1837" w:rsidRPr="00C25563">
        <w:rPr>
          <w:lang w:val="en-AU"/>
        </w:rPr>
        <w:t xml:space="preserve">on the possible reduction of the size of the coordination arc used in application of No. </w:t>
      </w:r>
      <w:r w:rsidR="000F1837" w:rsidRPr="00820C09">
        <w:rPr>
          <w:b/>
          <w:lang w:val="en-AU"/>
        </w:rPr>
        <w:t>9.7</w:t>
      </w:r>
      <w:r w:rsidR="000F1837" w:rsidRPr="00F1493C">
        <w:rPr>
          <w:lang w:val="en-AU"/>
        </w:rPr>
        <w:t xml:space="preserve">, and a review of technical criteria used in application of No. </w:t>
      </w:r>
      <w:r w:rsidR="000F1837" w:rsidRPr="00584D41">
        <w:rPr>
          <w:b/>
          <w:lang w:val="en-AU"/>
        </w:rPr>
        <w:t>9.41</w:t>
      </w:r>
      <w:r w:rsidR="00D0001A" w:rsidRPr="0048051F">
        <w:rPr>
          <w:lang w:val="en-AU"/>
        </w:rPr>
        <w:t xml:space="preserve"> which is directly related</w:t>
      </w:r>
      <w:r w:rsidR="000F1837" w:rsidRPr="00584D41">
        <w:rPr>
          <w:lang w:val="en-AU"/>
        </w:rPr>
        <w:t xml:space="preserve">, in accordance with Resolution </w:t>
      </w:r>
      <w:r w:rsidR="000F1837" w:rsidRPr="00856B47">
        <w:rPr>
          <w:b/>
          <w:lang w:val="en-AU"/>
        </w:rPr>
        <w:t>756 (WRC-12</w:t>
      </w:r>
      <w:r w:rsidR="000F1837" w:rsidRPr="00856B47">
        <w:rPr>
          <w:lang w:val="en-AU"/>
        </w:rPr>
        <w:t>).</w:t>
      </w:r>
    </w:p>
    <w:p w:rsidR="000140BF" w:rsidRDefault="000140BF" w:rsidP="005D55ED">
      <w:pPr>
        <w:spacing w:afterLines="50" w:after="120"/>
        <w:rPr>
          <w:b/>
          <w:lang w:val="en-AU"/>
        </w:rPr>
      </w:pPr>
    </w:p>
    <w:p w:rsidR="00D2370E" w:rsidRPr="006D1989" w:rsidRDefault="006D1989" w:rsidP="005D55ED">
      <w:pPr>
        <w:spacing w:afterLines="50" w:after="120"/>
        <w:rPr>
          <w:rFonts w:eastAsiaTheme="minorEastAsia"/>
          <w:b/>
          <w:lang w:eastAsia="ja-JP"/>
        </w:rPr>
      </w:pPr>
      <w:r w:rsidRPr="006D1989">
        <w:rPr>
          <w:rFonts w:eastAsiaTheme="minorEastAsia" w:hint="eastAsia"/>
          <w:b/>
          <w:lang w:eastAsia="ja-JP"/>
        </w:rPr>
        <w:t>Other Views:</w:t>
      </w:r>
    </w:p>
    <w:p w:rsidR="006D1989" w:rsidRDefault="006D1989" w:rsidP="006D1989">
      <w:pPr>
        <w:ind w:leftChars="118" w:left="283" w:firstLineChars="5" w:firstLine="12"/>
        <w:contextualSpacing/>
        <w:rPr>
          <w:rFonts w:eastAsiaTheme="minorEastAsia"/>
          <w:lang w:eastAsia="ja-JP"/>
        </w:rPr>
      </w:pPr>
      <w:r>
        <w:t>Iran is of the view that u</w:t>
      </w:r>
      <w:r w:rsidRPr="004B2986">
        <w:t>se of piecemeal approach to modify/enhance the regulatory provisions governing the use of orbital/spectrum resource</w:t>
      </w:r>
      <w:r>
        <w:rPr>
          <w:rFonts w:eastAsiaTheme="minorEastAsia" w:hint="eastAsia"/>
          <w:lang w:eastAsia="ja-JP"/>
        </w:rPr>
        <w:t>s</w:t>
      </w:r>
      <w:r w:rsidRPr="004B2986">
        <w:t xml:space="preserve"> in space services, such </w:t>
      </w:r>
      <w:r>
        <w:rPr>
          <w:rFonts w:eastAsiaTheme="minorEastAsia" w:hint="eastAsia"/>
          <w:lang w:eastAsia="ja-JP"/>
        </w:rPr>
        <w:t xml:space="preserve">as </w:t>
      </w:r>
      <w:r w:rsidRPr="004B2986">
        <w:t>reduction of coordination arc</w:t>
      </w:r>
      <w:r>
        <w:t xml:space="preserve">, modification to RR </w:t>
      </w:r>
      <w:r w:rsidRPr="00C354B6">
        <w:rPr>
          <w:b/>
        </w:rPr>
        <w:t>No. 9.41</w:t>
      </w:r>
      <w:r>
        <w:t xml:space="preserve">, increasing the </w:t>
      </w:r>
      <w:r w:rsidRPr="00FC6043">
        <w:t>Δ</w:t>
      </w:r>
      <w:r w:rsidRPr="004B2986">
        <w:t>T</w:t>
      </w:r>
      <w:r w:rsidRPr="00FC6043">
        <w:t>/</w:t>
      </w:r>
      <w:r w:rsidRPr="004B2986">
        <w:t xml:space="preserve">T </w:t>
      </w:r>
      <w:r>
        <w:rPr>
          <w:rFonts w:eastAsiaTheme="minorEastAsia" w:hint="eastAsia"/>
          <w:lang w:eastAsia="ja-JP"/>
        </w:rPr>
        <w:t xml:space="preserve">threshold </w:t>
      </w:r>
      <w:r>
        <w:t>criteria or chan</w:t>
      </w:r>
      <w:r>
        <w:rPr>
          <w:rFonts w:eastAsiaTheme="minorEastAsia" w:hint="eastAsia"/>
          <w:lang w:eastAsia="ja-JP"/>
        </w:rPr>
        <w:t xml:space="preserve">ging </w:t>
      </w:r>
      <w:r w:rsidRPr="004B2986">
        <w:t xml:space="preserve">it by another criteria (such as C/I or PFD mask) </w:t>
      </w:r>
      <w:r>
        <w:rPr>
          <w:rFonts w:eastAsiaTheme="minorEastAsia" w:hint="eastAsia"/>
          <w:lang w:eastAsia="ja-JP"/>
        </w:rPr>
        <w:t xml:space="preserve">in an independent manner </w:t>
      </w:r>
      <w:r w:rsidRPr="004B2986">
        <w:t>is not appropriate</w:t>
      </w:r>
      <w:r>
        <w:rPr>
          <w:rFonts w:eastAsiaTheme="minorEastAsia" w:hint="eastAsia"/>
          <w:lang w:eastAsia="ja-JP"/>
        </w:rPr>
        <w:t>. Due to the fact that</w:t>
      </w:r>
      <w:r>
        <w:t xml:space="preserve"> all these issues </w:t>
      </w:r>
      <w:r>
        <w:rPr>
          <w:rFonts w:eastAsiaTheme="minorEastAsia" w:hint="eastAsia"/>
          <w:lang w:eastAsia="ja-JP"/>
        </w:rPr>
        <w:t xml:space="preserve">are related with each other, these </w:t>
      </w:r>
      <w:r>
        <w:t xml:space="preserve">should be further studied and </w:t>
      </w:r>
      <w:r>
        <w:rPr>
          <w:rFonts w:eastAsiaTheme="minorEastAsia" w:hint="eastAsia"/>
          <w:lang w:eastAsia="ja-JP"/>
        </w:rPr>
        <w:t>decided in a global approach. The use</w:t>
      </w:r>
      <w:r w:rsidRPr="00FC6043">
        <w:t xml:space="preserve"> </w:t>
      </w:r>
      <w:r>
        <w:rPr>
          <w:rFonts w:eastAsiaTheme="minorEastAsia" w:hint="eastAsia"/>
          <w:lang w:eastAsia="ja-JP"/>
        </w:rPr>
        <w:t xml:space="preserve">of coordination arc was to absorb the </w:t>
      </w:r>
      <w:r w:rsidRPr="00FC6043">
        <w:t xml:space="preserve">backlog </w:t>
      </w:r>
      <w:r>
        <w:rPr>
          <w:rFonts w:eastAsiaTheme="minorEastAsia" w:hint="eastAsia"/>
          <w:lang w:eastAsia="ja-JP"/>
        </w:rPr>
        <w:t xml:space="preserve">and now that it </w:t>
      </w:r>
      <w:r w:rsidRPr="00FC6043">
        <w:t xml:space="preserve">is eliminated as result of </w:t>
      </w:r>
      <w:r>
        <w:rPr>
          <w:rFonts w:eastAsiaTheme="minorEastAsia" w:hint="eastAsia"/>
          <w:lang w:eastAsia="ja-JP"/>
        </w:rPr>
        <w:t xml:space="preserve">such use, therefore, </w:t>
      </w:r>
      <w:r w:rsidRPr="00FC6043">
        <w:t>it is necessary to invoke the traditional technical criteria for the coordination</w:t>
      </w:r>
      <w:r>
        <w:rPr>
          <w:rFonts w:eastAsiaTheme="minorEastAsia" w:hint="eastAsia"/>
          <w:lang w:eastAsia="ja-JP"/>
        </w:rPr>
        <w:t xml:space="preserve"> (no coordination arc anymore)</w:t>
      </w:r>
      <w:r w:rsidRPr="00FC6043">
        <w:t xml:space="preserve">. </w:t>
      </w:r>
    </w:p>
    <w:p w:rsidR="006D1989" w:rsidRDefault="006D1989" w:rsidP="00A568C9">
      <w:pPr>
        <w:rPr>
          <w:rFonts w:eastAsiaTheme="minorEastAsia"/>
          <w:lang w:eastAsia="ja-JP"/>
        </w:rPr>
      </w:pPr>
    </w:p>
    <w:p w:rsidR="006C6A4A" w:rsidRDefault="006C6A4A" w:rsidP="00A568C9">
      <w:pPr>
        <w:rPr>
          <w:rFonts w:eastAsiaTheme="minorEastAsia"/>
          <w:lang w:eastAsia="ja-JP"/>
        </w:rPr>
      </w:pPr>
    </w:p>
    <w:p w:rsidR="000140BF" w:rsidRPr="005D55ED" w:rsidRDefault="000140BF" w:rsidP="00A568C9">
      <w:pPr>
        <w:rPr>
          <w:rFonts w:eastAsiaTheme="minorEastAsia"/>
          <w:lang w:eastAsia="ja-JP"/>
        </w:rPr>
      </w:pPr>
    </w:p>
    <w:p w:rsidR="00FB4A47" w:rsidRDefault="00FB4A47" w:rsidP="00FB4A47">
      <w:pPr>
        <w:jc w:val="both"/>
      </w:pPr>
      <w:r>
        <w:rPr>
          <w:b/>
        </w:rPr>
        <w:lastRenderedPageBreak/>
        <w:t xml:space="preserve">Agenda Item </w:t>
      </w:r>
      <w:r>
        <w:rPr>
          <w:rFonts w:eastAsia="MS Mincho" w:hint="eastAsia"/>
          <w:b/>
          <w:lang w:eastAsia="ja-JP"/>
        </w:rPr>
        <w:t>9.1</w:t>
      </w:r>
      <w:r>
        <w:rPr>
          <w:b/>
        </w:rPr>
        <w:t>.</w:t>
      </w:r>
      <w:r>
        <w:rPr>
          <w:rFonts w:eastAsia="MS Mincho" w:hint="eastAsia"/>
          <w:b/>
          <w:lang w:eastAsia="ja-JP"/>
        </w:rPr>
        <w:t>3</w:t>
      </w:r>
      <w:r>
        <w:rPr>
          <w:b/>
        </w:rPr>
        <w:t xml:space="preserve">: </w:t>
      </w:r>
    </w:p>
    <w:p w:rsidR="00FB4A47" w:rsidRPr="00C27D52" w:rsidRDefault="004B2F24" w:rsidP="00C27D52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Theme="minorEastAsia" w:cs="Angsana New"/>
          <w:i/>
          <w:iCs/>
          <w:lang w:val="en-CA" w:eastAsia="ja-JP"/>
        </w:rPr>
      </w:pPr>
      <w:r>
        <w:rPr>
          <w:rFonts w:cs="Angsana New"/>
          <w:i/>
          <w:iCs/>
          <w:lang w:val="en-CA"/>
        </w:rPr>
        <w:t xml:space="preserve">Resolution </w:t>
      </w:r>
      <w:r w:rsidRPr="004B2F24">
        <w:rPr>
          <w:rFonts w:cs="Angsana New"/>
          <w:b/>
          <w:i/>
          <w:iCs/>
          <w:lang w:val="en-CA"/>
        </w:rPr>
        <w:t>11 (WRC-12)</w:t>
      </w:r>
      <w:r w:rsidR="00AC0BB8">
        <w:rPr>
          <w:rFonts w:eastAsiaTheme="minorEastAsia" w:cs="Angsana New" w:hint="eastAsia"/>
          <w:iCs/>
          <w:lang w:val="en-CA" w:eastAsia="ja-JP"/>
        </w:rPr>
        <w:t xml:space="preserve"> -</w:t>
      </w:r>
      <w:r>
        <w:rPr>
          <w:rFonts w:cs="Angsana New"/>
          <w:i/>
          <w:iCs/>
          <w:lang w:val="en-CA"/>
        </w:rPr>
        <w:t xml:space="preserve"> </w:t>
      </w:r>
      <w:r w:rsidR="00FB4A47" w:rsidRPr="00465DBF">
        <w:rPr>
          <w:rFonts w:cs="Angsana New"/>
          <w:i/>
          <w:iCs/>
          <w:lang w:val="en-CA"/>
        </w:rPr>
        <w:t>Use of satellite orbital positions and associated</w:t>
      </w:r>
      <w:r w:rsidR="00FB4A47">
        <w:rPr>
          <w:rFonts w:cs="Angsana New"/>
          <w:i/>
          <w:iCs/>
          <w:lang w:val="en-CA"/>
        </w:rPr>
        <w:t xml:space="preserve"> </w:t>
      </w:r>
      <w:r w:rsidR="00FB4A47" w:rsidRPr="00465DBF">
        <w:rPr>
          <w:rFonts w:cs="Angsana New"/>
          <w:i/>
          <w:iCs/>
          <w:lang w:val="en-CA"/>
        </w:rPr>
        <w:t>frequency spectrum</w:t>
      </w:r>
      <w:r w:rsidR="00FB4A47">
        <w:rPr>
          <w:rFonts w:cs="Angsana New"/>
          <w:i/>
          <w:iCs/>
          <w:lang w:val="en-CA"/>
        </w:rPr>
        <w:t xml:space="preserve"> to deliver international public </w:t>
      </w:r>
      <w:r w:rsidR="00FB4A47" w:rsidRPr="00465DBF">
        <w:rPr>
          <w:rFonts w:cs="Angsana New"/>
          <w:i/>
          <w:iCs/>
          <w:lang w:val="en-CA"/>
        </w:rPr>
        <w:t>telecommunication services in developing countries</w:t>
      </w:r>
    </w:p>
    <w:p w:rsidR="00FB4A47" w:rsidRPr="00DF40D8" w:rsidRDefault="00FB4A47" w:rsidP="00FB4A47">
      <w:pPr>
        <w:jc w:val="both"/>
        <w:rPr>
          <w:rFonts w:eastAsia="MS Mincho"/>
          <w:lang w:eastAsia="ja-JP"/>
        </w:rPr>
      </w:pPr>
    </w:p>
    <w:p w:rsidR="00FB4A47" w:rsidRPr="00D0365E" w:rsidRDefault="00FB4A47" w:rsidP="00FB4A47">
      <w:pPr>
        <w:jc w:val="both"/>
        <w:rPr>
          <w:rFonts w:eastAsiaTheme="minorEastAsia"/>
          <w:b/>
          <w:lang w:eastAsia="ja-JP"/>
        </w:rPr>
      </w:pPr>
    </w:p>
    <w:p w:rsidR="00FB4A47" w:rsidRDefault="00FB4A47" w:rsidP="005D55ED">
      <w:pPr>
        <w:spacing w:afterLines="50" w:after="120"/>
        <w:jc w:val="both"/>
        <w:rPr>
          <w:b/>
        </w:rPr>
      </w:pPr>
      <w:r>
        <w:rPr>
          <w:b/>
        </w:rPr>
        <w:t>APT Preliminary Views:</w:t>
      </w:r>
    </w:p>
    <w:p w:rsidR="00FB4A47" w:rsidRDefault="00FB4A47" w:rsidP="005A1E26">
      <w:pPr>
        <w:ind w:leftChars="118" w:left="283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F</w:t>
      </w:r>
      <w:r w:rsidRPr="006E7393">
        <w:t xml:space="preserve">urther studies are required. APT members are </w:t>
      </w:r>
      <w:r>
        <w:rPr>
          <w:rFonts w:eastAsiaTheme="minorEastAsia" w:hint="eastAsia"/>
          <w:lang w:eastAsia="ja-JP"/>
        </w:rPr>
        <w:t>encouraged</w:t>
      </w:r>
      <w:r w:rsidRPr="006E7393">
        <w:t xml:space="preserve"> to </w:t>
      </w:r>
      <w:r>
        <w:rPr>
          <w:rFonts w:eastAsia="MS Mincho" w:hint="eastAsia"/>
          <w:lang w:eastAsia="ja-JP"/>
        </w:rPr>
        <w:t xml:space="preserve">monitor and evaluate the studies conducted in ITU-R </w:t>
      </w:r>
      <w:r w:rsidRPr="006E7393">
        <w:t xml:space="preserve">and submit their contributions for further considerations in </w:t>
      </w:r>
      <w:r>
        <w:rPr>
          <w:rFonts w:eastAsiaTheme="minorEastAsia" w:hint="eastAsia"/>
          <w:lang w:eastAsia="ja-JP"/>
        </w:rPr>
        <w:t>the next</w:t>
      </w:r>
      <w:r w:rsidRPr="006E7393">
        <w:t xml:space="preserve"> meetings.</w:t>
      </w:r>
      <w:r>
        <w:rPr>
          <w:rFonts w:eastAsiaTheme="minorEastAsia" w:hint="eastAsia"/>
          <w:lang w:eastAsia="ja-JP"/>
        </w:rPr>
        <w:t xml:space="preserve"> </w:t>
      </w:r>
    </w:p>
    <w:p w:rsidR="00C27D52" w:rsidRPr="00D2370E" w:rsidRDefault="00FB4A47" w:rsidP="00D2370E">
      <w:pPr>
        <w:ind w:leftChars="118" w:left="283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Some concerns were expressed over some regulatory amendments to relevant resolutions of the ITU-R including Resolution </w:t>
      </w:r>
      <w:r w:rsidRPr="006D2E1A">
        <w:rPr>
          <w:rFonts w:eastAsiaTheme="minorEastAsia"/>
          <w:b/>
          <w:lang w:eastAsia="ja-JP"/>
        </w:rPr>
        <w:t>11 (WRC-12)</w:t>
      </w:r>
      <w:r>
        <w:rPr>
          <w:rFonts w:eastAsiaTheme="minorEastAsia" w:hint="eastAsia"/>
          <w:lang w:eastAsia="ja-JP"/>
        </w:rPr>
        <w:t xml:space="preserve"> and Resolution </w:t>
      </w:r>
      <w:r w:rsidRPr="006D2E1A">
        <w:rPr>
          <w:rFonts w:eastAsiaTheme="minorEastAsia"/>
          <w:b/>
          <w:lang w:eastAsia="ja-JP"/>
        </w:rPr>
        <w:t>15 (WRC-03)</w:t>
      </w:r>
      <w:r>
        <w:rPr>
          <w:rFonts w:eastAsiaTheme="minorEastAsia" w:hint="eastAsia"/>
          <w:lang w:eastAsia="ja-JP"/>
        </w:rPr>
        <w:t xml:space="preserve">.  This matter should be further </w:t>
      </w:r>
      <w:r>
        <w:rPr>
          <w:rFonts w:eastAsiaTheme="minorEastAsia"/>
          <w:lang w:eastAsia="ja-JP"/>
        </w:rPr>
        <w:t>studied</w:t>
      </w:r>
      <w:r>
        <w:rPr>
          <w:rFonts w:eastAsiaTheme="minorEastAsia" w:hint="eastAsia"/>
          <w:lang w:eastAsia="ja-JP"/>
        </w:rPr>
        <w:t xml:space="preserve"> and considered as appropriate to put emphasis on developed countries so that it may be possible for </w:t>
      </w:r>
      <w:r>
        <w:rPr>
          <w:rFonts w:eastAsiaTheme="minorEastAsia"/>
          <w:lang w:eastAsia="ja-JP"/>
        </w:rPr>
        <w:t>developing</w:t>
      </w:r>
      <w:r>
        <w:rPr>
          <w:rFonts w:eastAsiaTheme="minorEastAsia" w:hint="eastAsia"/>
          <w:lang w:eastAsia="ja-JP"/>
        </w:rPr>
        <w:t xml:space="preserve"> countries to access required services in the</w:t>
      </w:r>
      <w:r w:rsidR="00A708EC">
        <w:rPr>
          <w:rFonts w:eastAsiaTheme="minorEastAsia" w:hint="eastAsia"/>
          <w:lang w:eastAsia="ja-JP"/>
        </w:rPr>
        <w:t xml:space="preserve">ir geographical local regions, </w:t>
      </w:r>
      <w:r>
        <w:rPr>
          <w:rFonts w:eastAsiaTheme="minorEastAsia" w:hint="eastAsia"/>
          <w:lang w:eastAsia="ja-JP"/>
        </w:rPr>
        <w:t>a</w:t>
      </w:r>
      <w:r>
        <w:rPr>
          <w:rFonts w:eastAsiaTheme="minorEastAsia"/>
          <w:lang w:eastAsia="ja-JP"/>
        </w:rPr>
        <w:t>n</w:t>
      </w:r>
      <w:r>
        <w:rPr>
          <w:rFonts w:eastAsiaTheme="minorEastAsia" w:hint="eastAsia"/>
          <w:lang w:eastAsia="ja-JP"/>
        </w:rPr>
        <w:t xml:space="preserve">d not to deny their requests unreasonably as clearly mentioned by their primary rights in United Nations and ITU Constitutions. </w:t>
      </w:r>
    </w:p>
    <w:p w:rsidR="00C27D52" w:rsidRDefault="00C27D52" w:rsidP="00C27D52">
      <w:pPr>
        <w:ind w:leftChars="118" w:left="283"/>
        <w:jc w:val="both"/>
        <w:rPr>
          <w:rFonts w:eastAsiaTheme="minorEastAsia"/>
          <w:lang w:eastAsia="ja-JP"/>
        </w:rPr>
      </w:pPr>
    </w:p>
    <w:p w:rsidR="006C6A4A" w:rsidRPr="00DC5CC1" w:rsidRDefault="006C6A4A" w:rsidP="00C27D52">
      <w:pPr>
        <w:ind w:leftChars="118" w:left="283"/>
        <w:jc w:val="both"/>
        <w:rPr>
          <w:rFonts w:eastAsiaTheme="minorEastAsia"/>
          <w:lang w:eastAsia="ja-JP"/>
        </w:rPr>
      </w:pPr>
    </w:p>
    <w:p w:rsidR="00FB4A47" w:rsidRDefault="00FB4A47" w:rsidP="00C27D52">
      <w:r>
        <w:rPr>
          <w:b/>
        </w:rPr>
        <w:t xml:space="preserve">Agenda Item </w:t>
      </w:r>
      <w:r>
        <w:rPr>
          <w:rFonts w:eastAsia="MS Mincho" w:hint="eastAsia"/>
          <w:b/>
          <w:lang w:eastAsia="ja-JP"/>
        </w:rPr>
        <w:t>9.1</w:t>
      </w:r>
      <w:r>
        <w:rPr>
          <w:b/>
        </w:rPr>
        <w:t>.</w:t>
      </w:r>
      <w:r>
        <w:rPr>
          <w:rFonts w:eastAsia="MS Mincho" w:hint="eastAsia"/>
          <w:b/>
          <w:lang w:eastAsia="ja-JP"/>
        </w:rPr>
        <w:t>8</w:t>
      </w:r>
      <w:r>
        <w:rPr>
          <w:b/>
        </w:rPr>
        <w:t xml:space="preserve">: </w:t>
      </w:r>
    </w:p>
    <w:p w:rsidR="00FB4A47" w:rsidRPr="00186F6A" w:rsidRDefault="00FB4A47" w:rsidP="00FB4A47">
      <w:pPr>
        <w:spacing w:after="120"/>
        <w:rPr>
          <w:i/>
          <w:lang w:val="en-AU"/>
        </w:rPr>
      </w:pPr>
      <w:bookmarkStart w:id="1" w:name="_Toc332889184"/>
      <w:bookmarkStart w:id="2" w:name="_Toc332891961"/>
      <w:r w:rsidRPr="00186F6A">
        <w:rPr>
          <w:i/>
          <w:lang w:val="en-AU"/>
        </w:rPr>
        <w:t xml:space="preserve">Resolution </w:t>
      </w:r>
      <w:r w:rsidRPr="00186F6A">
        <w:rPr>
          <w:b/>
          <w:i/>
          <w:lang w:val="en-AU"/>
        </w:rPr>
        <w:t>757 (WRC</w:t>
      </w:r>
      <w:r w:rsidRPr="00186F6A">
        <w:rPr>
          <w:b/>
          <w:i/>
          <w:lang w:val="en-AU"/>
        </w:rPr>
        <w:noBreakHyphen/>
        <w:t>12)</w:t>
      </w:r>
      <w:r w:rsidR="00AC0BB8">
        <w:rPr>
          <w:rFonts w:eastAsiaTheme="minorEastAsia" w:hint="eastAsia"/>
          <w:lang w:val="en-AU" w:eastAsia="ja-JP"/>
        </w:rPr>
        <w:t xml:space="preserve"> -</w:t>
      </w:r>
      <w:r w:rsidRPr="00186F6A">
        <w:rPr>
          <w:i/>
          <w:lang w:val="en-AU"/>
        </w:rPr>
        <w:t xml:space="preserve"> Regulatory aspects for </w:t>
      </w:r>
      <w:proofErr w:type="spellStart"/>
      <w:r w:rsidRPr="00186F6A">
        <w:rPr>
          <w:i/>
          <w:lang w:val="en-AU"/>
        </w:rPr>
        <w:t>nano</w:t>
      </w:r>
      <w:proofErr w:type="spellEnd"/>
      <w:r w:rsidR="004B2F24">
        <w:rPr>
          <w:i/>
          <w:lang w:val="en-AU"/>
        </w:rPr>
        <w:t>-</w:t>
      </w:r>
      <w:r w:rsidRPr="00186F6A">
        <w:rPr>
          <w:i/>
          <w:lang w:val="en-AU"/>
        </w:rPr>
        <w:t xml:space="preserve"> and </w:t>
      </w:r>
      <w:proofErr w:type="spellStart"/>
      <w:r w:rsidRPr="00186F6A">
        <w:rPr>
          <w:i/>
          <w:lang w:val="en-AU"/>
        </w:rPr>
        <w:t>picosatellites</w:t>
      </w:r>
      <w:bookmarkEnd w:id="1"/>
      <w:bookmarkEnd w:id="2"/>
      <w:proofErr w:type="spellEnd"/>
    </w:p>
    <w:p w:rsidR="00FB4A47" w:rsidRPr="00F6359C" w:rsidRDefault="00C27D52" w:rsidP="00FB4A47">
      <w:pPr>
        <w:jc w:val="both"/>
        <w:rPr>
          <w:rFonts w:eastAsia="MS Mincho"/>
          <w:lang w:eastAsia="ja-JP"/>
        </w:rPr>
      </w:pPr>
      <w:r>
        <w:rPr>
          <w:rFonts w:eastAsiaTheme="minorEastAsia" w:hint="eastAsia"/>
          <w:i/>
          <w:lang w:val="en-AU" w:eastAsia="ja-JP"/>
        </w:rPr>
        <w:t xml:space="preserve"> </w:t>
      </w:r>
    </w:p>
    <w:p w:rsidR="00FB4A47" w:rsidRDefault="00FB4A47" w:rsidP="00FB4A47">
      <w:pPr>
        <w:jc w:val="both"/>
        <w:rPr>
          <w:b/>
        </w:rPr>
      </w:pPr>
      <w:r>
        <w:rPr>
          <w:b/>
        </w:rPr>
        <w:t>APT Preliminary Views:</w:t>
      </w:r>
    </w:p>
    <w:p w:rsidR="00FB4A47" w:rsidRDefault="00F444F1" w:rsidP="005D55ED">
      <w:pPr>
        <w:spacing w:beforeLines="50" w:before="120"/>
        <w:ind w:leftChars="118" w:left="283"/>
      </w:pPr>
      <w:r>
        <w:rPr>
          <w:rFonts w:eastAsiaTheme="minorEastAsia" w:hint="eastAsia"/>
          <w:lang w:eastAsia="ja-JP"/>
        </w:rPr>
        <w:t xml:space="preserve">APT </w:t>
      </w:r>
      <w:r>
        <w:rPr>
          <w:rFonts w:eastAsiaTheme="minorEastAsia"/>
          <w:lang w:eastAsia="ja-JP"/>
        </w:rPr>
        <w:t>M</w:t>
      </w:r>
      <w:r w:rsidR="00FB4A47">
        <w:rPr>
          <w:rFonts w:eastAsiaTheme="minorEastAsia" w:hint="eastAsia"/>
          <w:lang w:eastAsia="ja-JP"/>
        </w:rPr>
        <w:t>embers support</w:t>
      </w:r>
      <w:r w:rsidR="00FB4A47" w:rsidRPr="00D0365E">
        <w:rPr>
          <w:rFonts w:eastAsiaTheme="minorEastAsia" w:hint="eastAsia"/>
          <w:lang w:eastAsia="ja-JP"/>
        </w:rPr>
        <w:t xml:space="preserve"> the study to examine the necessary procedures for notifying </w:t>
      </w:r>
      <w:proofErr w:type="spellStart"/>
      <w:r w:rsidR="00FB4A47">
        <w:rPr>
          <w:rFonts w:eastAsiaTheme="minorEastAsia" w:hint="eastAsia"/>
          <w:lang w:eastAsia="ja-JP"/>
        </w:rPr>
        <w:t>nano</w:t>
      </w:r>
      <w:proofErr w:type="spellEnd"/>
      <w:r w:rsidR="002F66CD">
        <w:rPr>
          <w:rFonts w:eastAsiaTheme="minorEastAsia" w:hint="eastAsia"/>
          <w:lang w:eastAsia="ja-JP"/>
        </w:rPr>
        <w:t>-</w:t>
      </w:r>
      <w:r w:rsidR="00FB4A47">
        <w:rPr>
          <w:rFonts w:eastAsiaTheme="minorEastAsia" w:hint="eastAsia"/>
          <w:lang w:eastAsia="ja-JP"/>
        </w:rPr>
        <w:t xml:space="preserve"> and </w:t>
      </w:r>
      <w:proofErr w:type="spellStart"/>
      <w:r w:rsidR="00FB4A47">
        <w:rPr>
          <w:rFonts w:eastAsiaTheme="minorEastAsia" w:hint="eastAsia"/>
          <w:lang w:eastAsia="ja-JP"/>
        </w:rPr>
        <w:t>picosat</w:t>
      </w:r>
      <w:r w:rsidR="00FB4A47" w:rsidRPr="00D0365E">
        <w:rPr>
          <w:rFonts w:eastAsiaTheme="minorEastAsia" w:hint="eastAsia"/>
          <w:lang w:eastAsia="ja-JP"/>
        </w:rPr>
        <w:t>el</w:t>
      </w:r>
      <w:r w:rsidR="00FB4A47">
        <w:rPr>
          <w:rFonts w:eastAsiaTheme="minorEastAsia" w:hint="eastAsia"/>
          <w:lang w:eastAsia="ja-JP"/>
        </w:rPr>
        <w:t>l</w:t>
      </w:r>
      <w:r w:rsidR="00FB4A47" w:rsidRPr="00D0365E">
        <w:rPr>
          <w:rFonts w:eastAsiaTheme="minorEastAsia" w:hint="eastAsia"/>
          <w:lang w:eastAsia="ja-JP"/>
        </w:rPr>
        <w:t>ites</w:t>
      </w:r>
      <w:proofErr w:type="spellEnd"/>
      <w:r w:rsidR="00FB4A47" w:rsidRPr="00D0365E">
        <w:rPr>
          <w:rFonts w:eastAsiaTheme="minorEastAsia" w:hint="eastAsia"/>
          <w:lang w:eastAsia="ja-JP"/>
        </w:rPr>
        <w:t xml:space="preserve"> taking into account their unique characteristics while ensuring the protection of existing allocated services</w:t>
      </w:r>
      <w:r w:rsidR="00FB4A47">
        <w:rPr>
          <w:rFonts w:eastAsiaTheme="minorEastAsia" w:hint="eastAsia"/>
          <w:lang w:eastAsia="ja-JP"/>
        </w:rPr>
        <w:t xml:space="preserve"> and </w:t>
      </w:r>
      <w:r w:rsidR="00FB4A47">
        <w:rPr>
          <w:rFonts w:eastAsia="MS Mincho"/>
          <w:lang w:eastAsia="ja-JP"/>
        </w:rPr>
        <w:t>ex</w:t>
      </w:r>
      <w:r w:rsidR="00FB4A47">
        <w:rPr>
          <w:rFonts w:eastAsia="MS Mincho" w:hint="eastAsia"/>
          <w:lang w:eastAsia="ja-JP"/>
        </w:rPr>
        <w:t>i</w:t>
      </w:r>
      <w:r w:rsidR="00FB4A47">
        <w:rPr>
          <w:rFonts w:eastAsia="MS Mincho"/>
          <w:lang w:eastAsia="ja-JP"/>
        </w:rPr>
        <w:t>st</w:t>
      </w:r>
      <w:r w:rsidR="00FB4A47">
        <w:rPr>
          <w:rFonts w:eastAsia="MS Mincho" w:hint="eastAsia"/>
          <w:lang w:eastAsia="ja-JP"/>
        </w:rPr>
        <w:t>ing and future radio stations operated in accordance with the RR</w:t>
      </w:r>
      <w:r w:rsidR="00FB4A47">
        <w:rPr>
          <w:rFonts w:eastAsiaTheme="minorEastAsia" w:hint="eastAsia"/>
          <w:lang w:eastAsia="ja-JP"/>
        </w:rPr>
        <w:t xml:space="preserve"> and avoiding </w:t>
      </w:r>
      <w:r w:rsidR="00FB4A47" w:rsidRPr="005E04E1">
        <w:rPr>
          <w:rFonts w:eastAsia="MS Mincho"/>
          <w:lang w:eastAsia="ja-JP"/>
        </w:rPr>
        <w:t>inconsistencies with other provisions of the RR</w:t>
      </w:r>
      <w:r w:rsidR="00FB4A47">
        <w:rPr>
          <w:rFonts w:eastAsiaTheme="minorEastAsia" w:hint="eastAsia"/>
          <w:lang w:eastAsia="ja-JP"/>
        </w:rPr>
        <w:t>.</w:t>
      </w:r>
      <w:r w:rsidR="00FB4A47" w:rsidRPr="003055E9">
        <w:t xml:space="preserve"> A</w:t>
      </w:r>
      <w:r w:rsidR="00FB4A47">
        <w:rPr>
          <w:rFonts w:eastAsia="SimSun" w:hint="eastAsia"/>
          <w:lang w:eastAsia="zh-CN"/>
        </w:rPr>
        <w:t>PT members</w:t>
      </w:r>
      <w:r w:rsidR="00FB4A47" w:rsidRPr="003055E9">
        <w:t xml:space="preserve"> are </w:t>
      </w:r>
      <w:r w:rsidR="00FB4A47">
        <w:rPr>
          <w:rFonts w:eastAsiaTheme="minorEastAsia" w:hint="eastAsia"/>
          <w:lang w:eastAsia="ja-JP"/>
        </w:rPr>
        <w:t xml:space="preserve">encouraged to </w:t>
      </w:r>
      <w:r w:rsidR="00FB4A47">
        <w:rPr>
          <w:rFonts w:eastAsia="MS Mincho" w:hint="eastAsia"/>
          <w:lang w:eastAsia="ja-JP"/>
        </w:rPr>
        <w:t xml:space="preserve">monitor the study progress in ITU-R, </w:t>
      </w:r>
      <w:r w:rsidR="00FB4A47" w:rsidRPr="003055E9">
        <w:t xml:space="preserve">carry out necessary studies and submit their contributions for </w:t>
      </w:r>
      <w:r w:rsidR="00FB4A47">
        <w:rPr>
          <w:rFonts w:eastAsia="SimSun" w:hint="eastAsia"/>
          <w:lang w:eastAsia="zh-CN"/>
        </w:rPr>
        <w:t xml:space="preserve">further </w:t>
      </w:r>
      <w:r w:rsidR="00FB4A47" w:rsidRPr="003055E9">
        <w:t>consideration</w:t>
      </w:r>
      <w:r w:rsidR="00FB4A47">
        <w:rPr>
          <w:rFonts w:eastAsia="SimSun" w:hint="eastAsia"/>
          <w:lang w:eastAsia="zh-CN"/>
        </w:rPr>
        <w:t>s</w:t>
      </w:r>
      <w:r w:rsidR="00FB4A47" w:rsidRPr="003055E9">
        <w:t xml:space="preserve"> </w:t>
      </w:r>
      <w:r w:rsidR="00FB4A47">
        <w:rPr>
          <w:rFonts w:eastAsia="SimSun" w:hint="eastAsia"/>
          <w:lang w:eastAsia="zh-CN"/>
        </w:rPr>
        <w:t xml:space="preserve">in </w:t>
      </w:r>
      <w:r w:rsidR="00FB4A47">
        <w:rPr>
          <w:rFonts w:eastAsiaTheme="minorEastAsia" w:hint="eastAsia"/>
          <w:lang w:eastAsia="ja-JP"/>
        </w:rPr>
        <w:t>the next</w:t>
      </w:r>
      <w:r w:rsidR="00FB4A47">
        <w:rPr>
          <w:rFonts w:eastAsia="SimSun" w:hint="eastAsia"/>
          <w:lang w:eastAsia="zh-CN"/>
        </w:rPr>
        <w:t xml:space="preserve"> meetings</w:t>
      </w:r>
      <w:r w:rsidR="00FB4A47" w:rsidRPr="003055E9">
        <w:t>.</w:t>
      </w:r>
    </w:p>
    <w:p w:rsidR="00FB4A47" w:rsidRDefault="00FB4A47" w:rsidP="00FB4A47">
      <w:pPr>
        <w:jc w:val="both"/>
        <w:rPr>
          <w:rFonts w:eastAsiaTheme="minorEastAsia"/>
          <w:b/>
          <w:lang w:eastAsia="ja-JP"/>
        </w:rPr>
      </w:pPr>
    </w:p>
    <w:p w:rsidR="006C6A4A" w:rsidRDefault="006C6A4A" w:rsidP="00FB4A47">
      <w:pPr>
        <w:jc w:val="both"/>
        <w:rPr>
          <w:rFonts w:eastAsiaTheme="minorEastAsia"/>
          <w:b/>
          <w:lang w:eastAsia="ja-JP"/>
        </w:rPr>
      </w:pPr>
    </w:p>
    <w:p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DB0A68">
      <w:headerReference w:type="default" r:id="rId11"/>
      <w:footerReference w:type="even" r:id="rId12"/>
      <w:footerReference w:type="default" r:id="rId13"/>
      <w:footerReference w:type="first" r:id="rId14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A7" w:rsidRDefault="000862A7">
      <w:r>
        <w:separator/>
      </w:r>
    </w:p>
  </w:endnote>
  <w:endnote w:type="continuationSeparator" w:id="0">
    <w:p w:rsidR="000862A7" w:rsidRDefault="0008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Che">
    <w:altName w:val="Times New Roman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3C" w:rsidRDefault="00021CDD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149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493C" w:rsidRDefault="00F1493C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3C" w:rsidRDefault="00F1493C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="00021CDD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021CDD" w:rsidRPr="002C7EA9">
      <w:rPr>
        <w:rStyle w:val="PageNumber"/>
      </w:rPr>
      <w:fldChar w:fldCharType="separate"/>
    </w:r>
    <w:r w:rsidR="0048051F">
      <w:rPr>
        <w:rStyle w:val="PageNumber"/>
        <w:noProof/>
      </w:rPr>
      <w:t>2</w:t>
    </w:r>
    <w:r w:rsidR="00021CDD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021CDD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021CDD" w:rsidRPr="002C7EA9">
      <w:rPr>
        <w:rStyle w:val="PageNumber"/>
      </w:rPr>
      <w:fldChar w:fldCharType="separate"/>
    </w:r>
    <w:r w:rsidR="0048051F">
      <w:rPr>
        <w:rStyle w:val="PageNumber"/>
        <w:noProof/>
      </w:rPr>
      <w:t>2</w:t>
    </w:r>
    <w:r w:rsidR="00021CDD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3789"/>
      <w:gridCol w:w="4517"/>
    </w:tblGrid>
    <w:tr w:rsidR="00F1493C" w:rsidTr="00DA2729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F1493C" w:rsidRPr="007B00DD" w:rsidRDefault="00F1493C" w:rsidP="00762576">
          <w:pPr>
            <w:rPr>
              <w:b/>
              <w:bCs/>
            </w:rPr>
          </w:pPr>
        </w:p>
      </w:tc>
      <w:tc>
        <w:tcPr>
          <w:tcW w:w="3789" w:type="dxa"/>
          <w:tcBorders>
            <w:top w:val="single" w:sz="12" w:space="0" w:color="auto"/>
          </w:tcBorders>
        </w:tcPr>
        <w:p w:rsidR="00DA2729" w:rsidRPr="00DA2729" w:rsidRDefault="00DA2729" w:rsidP="00D13B41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Theme="minorEastAsia"/>
              <w:lang w:eastAsia="ja-JP"/>
            </w:rPr>
          </w:pPr>
        </w:p>
      </w:tc>
      <w:tc>
        <w:tcPr>
          <w:tcW w:w="4517" w:type="dxa"/>
          <w:tcBorders>
            <w:top w:val="single" w:sz="12" w:space="0" w:color="auto"/>
          </w:tcBorders>
        </w:tcPr>
        <w:p w:rsidR="00F1493C" w:rsidRPr="00DA2729" w:rsidRDefault="00F1493C" w:rsidP="00DA2729">
          <w:pPr>
            <w:rPr>
              <w:rFonts w:eastAsiaTheme="minorEastAsia"/>
              <w:b/>
              <w:lang w:eastAsia="ja-JP"/>
            </w:rPr>
          </w:pPr>
        </w:p>
      </w:tc>
    </w:tr>
  </w:tbl>
  <w:p w:rsidR="00F1493C" w:rsidRDefault="00F149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A7" w:rsidRDefault="000862A7">
      <w:r>
        <w:separator/>
      </w:r>
    </w:p>
  </w:footnote>
  <w:footnote w:type="continuationSeparator" w:id="0">
    <w:p w:rsidR="000862A7" w:rsidRDefault="00086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3C" w:rsidRPr="006D1989" w:rsidRDefault="00F1493C" w:rsidP="00C15633">
    <w:pPr>
      <w:pStyle w:val="Header"/>
      <w:tabs>
        <w:tab w:val="center" w:pos="4763"/>
        <w:tab w:val="left" w:pos="5820"/>
      </w:tabs>
      <w:rPr>
        <w:rFonts w:eastAsiaTheme="minorEastAsia"/>
        <w:lang w:eastAsia="ja-JP"/>
      </w:rPr>
    </w:pPr>
    <w:r>
      <w:rPr>
        <w:lang w:eastAsia="ko-KR"/>
      </w:rPr>
      <w:tab/>
    </w:r>
    <w:r>
      <w:rPr>
        <w:rFonts w:hint="eastAsia"/>
        <w:lang w:eastAsia="ko-KR"/>
      </w:rPr>
      <w:t>A</w:t>
    </w:r>
    <w:r>
      <w:rPr>
        <w:lang w:eastAsia="ko-KR"/>
      </w:rPr>
      <w:t>PG15-2</w:t>
    </w:r>
    <w:r>
      <w:rPr>
        <w:rFonts w:hint="eastAsia"/>
        <w:lang w:eastAsia="ko-KR"/>
      </w:rPr>
      <w:t>/</w:t>
    </w:r>
    <w:r w:rsidR="00DA2729">
      <w:rPr>
        <w:rFonts w:eastAsiaTheme="minorEastAsia" w:hint="eastAsia"/>
        <w:lang w:eastAsia="ja-JP"/>
      </w:rPr>
      <w:t>OUT</w:t>
    </w:r>
    <w:r w:rsidR="00726675">
      <w:rPr>
        <w:lang w:eastAsia="ko-KR"/>
      </w:rPr>
      <w:t>-08</w:t>
    </w:r>
    <w:r w:rsidR="00F444F1">
      <w:rPr>
        <w:rFonts w:eastAsiaTheme="minorEastAsia" w:hint="eastAsia"/>
        <w:lang w:eastAsia="ja-JP"/>
      </w:rPr>
      <w:t>(Rev.</w:t>
    </w:r>
    <w:r w:rsidR="00F444F1">
      <w:rPr>
        <w:rFonts w:eastAsiaTheme="minorEastAsia"/>
        <w:lang w:eastAsia="ja-JP"/>
      </w:rPr>
      <w:t>2</w:t>
    </w:r>
    <w:r w:rsidR="006D1989">
      <w:rPr>
        <w:rFonts w:eastAsiaTheme="minorEastAsia" w:hint="eastAsia"/>
        <w:lang w:eastAsia="ja-JP"/>
      </w:rPr>
      <w:t>)</w:t>
    </w:r>
  </w:p>
  <w:p w:rsidR="00F1493C" w:rsidRDefault="00F1493C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7363332"/>
    <w:multiLevelType w:val="hybridMultilevel"/>
    <w:tmpl w:val="B2980AC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242430C8"/>
    <w:multiLevelType w:val="hybridMultilevel"/>
    <w:tmpl w:val="94B0AB0A"/>
    <w:lvl w:ilvl="0" w:tplc="430EDB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27DD0074"/>
    <w:multiLevelType w:val="hybridMultilevel"/>
    <w:tmpl w:val="0ED202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8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>
    <w:nsid w:val="3C8F6A60"/>
    <w:multiLevelType w:val="hybridMultilevel"/>
    <w:tmpl w:val="3F1A2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4061C"/>
    <w:multiLevelType w:val="hybridMultilevel"/>
    <w:tmpl w:val="6E807FCE"/>
    <w:lvl w:ilvl="0" w:tplc="4976C4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70CC9"/>
    <w:multiLevelType w:val="hybridMultilevel"/>
    <w:tmpl w:val="3B58ECE6"/>
    <w:lvl w:ilvl="0" w:tplc="D8106C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5436B"/>
    <w:multiLevelType w:val="hybridMultilevel"/>
    <w:tmpl w:val="6376084A"/>
    <w:lvl w:ilvl="0" w:tplc="2D5800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35F6E"/>
    <w:multiLevelType w:val="hybridMultilevel"/>
    <w:tmpl w:val="0AAA7F04"/>
    <w:lvl w:ilvl="0" w:tplc="CDB425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B4416"/>
    <w:multiLevelType w:val="hybridMultilevel"/>
    <w:tmpl w:val="E11EE4A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028F3"/>
    <w:multiLevelType w:val="hybridMultilevel"/>
    <w:tmpl w:val="D0D87074"/>
    <w:lvl w:ilvl="0" w:tplc="9FF053D4">
      <w:start w:val="1"/>
      <w:numFmt w:val="decimal"/>
      <w:lvlText w:val="%1)"/>
      <w:lvlJc w:val="left"/>
      <w:pPr>
        <w:ind w:left="786" w:hanging="360"/>
      </w:pPr>
      <w:rPr>
        <w:rFonts w:ascii="Times New Roman" w:eastAsia="BatangChe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9623D1A"/>
    <w:multiLevelType w:val="hybridMultilevel"/>
    <w:tmpl w:val="5414FF84"/>
    <w:lvl w:ilvl="0" w:tplc="531263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C4466"/>
    <w:multiLevelType w:val="hybridMultilevel"/>
    <w:tmpl w:val="84205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0">
    <w:nsid w:val="78180B44"/>
    <w:multiLevelType w:val="hybridMultilevel"/>
    <w:tmpl w:val="D068E3AE"/>
    <w:lvl w:ilvl="0" w:tplc="09764DC6">
      <w:start w:val="1"/>
      <w:numFmt w:val="lowerRoman"/>
      <w:pStyle w:val="MTDisplayEquation"/>
      <w:lvlText w:val="%1)"/>
      <w:lvlJc w:val="left"/>
      <w:pPr>
        <w:ind w:left="765" w:hanging="720"/>
      </w:pPr>
      <w:rPr>
        <w:rFonts w:eastAsia="MS Mincho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9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10"/>
  </w:num>
  <w:num w:numId="10">
    <w:abstractNumId w:val="16"/>
  </w:num>
  <w:num w:numId="11">
    <w:abstractNumId w:val="13"/>
  </w:num>
  <w:num w:numId="12">
    <w:abstractNumId w:val="20"/>
  </w:num>
  <w:num w:numId="13">
    <w:abstractNumId w:val="15"/>
  </w:num>
  <w:num w:numId="14">
    <w:abstractNumId w:val="11"/>
  </w:num>
  <w:num w:numId="15">
    <w:abstractNumId w:val="4"/>
  </w:num>
  <w:num w:numId="16">
    <w:abstractNumId w:val="14"/>
  </w:num>
  <w:num w:numId="17">
    <w:abstractNumId w:val="12"/>
  </w:num>
  <w:num w:numId="18">
    <w:abstractNumId w:val="17"/>
  </w:num>
  <w:num w:numId="19">
    <w:abstractNumId w:val="20"/>
    <w:lvlOverride w:ilvl="0">
      <w:startOverride w:val="4"/>
    </w:lvlOverride>
  </w:num>
  <w:num w:numId="20">
    <w:abstractNumId w:val="20"/>
    <w:lvlOverride w:ilvl="0">
      <w:startOverride w:val="4"/>
    </w:lvlOverride>
  </w:num>
  <w:num w:numId="21">
    <w:abstractNumId w:val="1"/>
  </w:num>
  <w:num w:numId="22">
    <w:abstractNumId w:val="18"/>
  </w:num>
  <w:num w:numId="23">
    <w:abstractNumId w:val="6"/>
  </w:num>
  <w:num w:numId="24">
    <w:abstractNumId w:val="2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02728"/>
    <w:rsid w:val="0000434B"/>
    <w:rsid w:val="000130A9"/>
    <w:rsid w:val="000140BF"/>
    <w:rsid w:val="00021CDD"/>
    <w:rsid w:val="0003595B"/>
    <w:rsid w:val="000713CF"/>
    <w:rsid w:val="000756AE"/>
    <w:rsid w:val="0007793B"/>
    <w:rsid w:val="0008159A"/>
    <w:rsid w:val="000862A7"/>
    <w:rsid w:val="00087455"/>
    <w:rsid w:val="00093023"/>
    <w:rsid w:val="000A5418"/>
    <w:rsid w:val="000B0A9E"/>
    <w:rsid w:val="000C7B55"/>
    <w:rsid w:val="000E11D9"/>
    <w:rsid w:val="000F1837"/>
    <w:rsid w:val="000F41D7"/>
    <w:rsid w:val="000F517C"/>
    <w:rsid w:val="000F5540"/>
    <w:rsid w:val="000F5FC4"/>
    <w:rsid w:val="00130A28"/>
    <w:rsid w:val="001419DD"/>
    <w:rsid w:val="001539DD"/>
    <w:rsid w:val="001708AE"/>
    <w:rsid w:val="001718DF"/>
    <w:rsid w:val="00196568"/>
    <w:rsid w:val="001A2CF1"/>
    <w:rsid w:val="001A2F16"/>
    <w:rsid w:val="001B0F8E"/>
    <w:rsid w:val="001B18C2"/>
    <w:rsid w:val="001C610F"/>
    <w:rsid w:val="001D5D7E"/>
    <w:rsid w:val="001F0EF0"/>
    <w:rsid w:val="001F423D"/>
    <w:rsid w:val="00210BB9"/>
    <w:rsid w:val="00220A93"/>
    <w:rsid w:val="002229F4"/>
    <w:rsid w:val="00223075"/>
    <w:rsid w:val="002346D4"/>
    <w:rsid w:val="00254A1B"/>
    <w:rsid w:val="002644FA"/>
    <w:rsid w:val="0028454D"/>
    <w:rsid w:val="00290ABD"/>
    <w:rsid w:val="00291C9E"/>
    <w:rsid w:val="002926D4"/>
    <w:rsid w:val="00294F6D"/>
    <w:rsid w:val="00295D9B"/>
    <w:rsid w:val="002A14B9"/>
    <w:rsid w:val="002C07DA"/>
    <w:rsid w:val="002C27D6"/>
    <w:rsid w:val="002C7EA9"/>
    <w:rsid w:val="002E793B"/>
    <w:rsid w:val="002F24EB"/>
    <w:rsid w:val="002F66CD"/>
    <w:rsid w:val="00300065"/>
    <w:rsid w:val="00321BD0"/>
    <w:rsid w:val="003365B0"/>
    <w:rsid w:val="0034036E"/>
    <w:rsid w:val="00342F20"/>
    <w:rsid w:val="00345473"/>
    <w:rsid w:val="00352101"/>
    <w:rsid w:val="00365607"/>
    <w:rsid w:val="003708C1"/>
    <w:rsid w:val="00370F82"/>
    <w:rsid w:val="00377D0E"/>
    <w:rsid w:val="003801BB"/>
    <w:rsid w:val="003809C7"/>
    <w:rsid w:val="003821A7"/>
    <w:rsid w:val="003B6263"/>
    <w:rsid w:val="003C64A7"/>
    <w:rsid w:val="003D3FDA"/>
    <w:rsid w:val="003F08F8"/>
    <w:rsid w:val="003F1846"/>
    <w:rsid w:val="00414A0B"/>
    <w:rsid w:val="00420822"/>
    <w:rsid w:val="004226A8"/>
    <w:rsid w:val="00430221"/>
    <w:rsid w:val="0045458F"/>
    <w:rsid w:val="004633B4"/>
    <w:rsid w:val="00473941"/>
    <w:rsid w:val="0047578B"/>
    <w:rsid w:val="00477E0E"/>
    <w:rsid w:val="0048051F"/>
    <w:rsid w:val="00483708"/>
    <w:rsid w:val="00485CBE"/>
    <w:rsid w:val="004908A1"/>
    <w:rsid w:val="004B2F24"/>
    <w:rsid w:val="004B3553"/>
    <w:rsid w:val="004C484D"/>
    <w:rsid w:val="004F16F3"/>
    <w:rsid w:val="004F2F18"/>
    <w:rsid w:val="00530E8C"/>
    <w:rsid w:val="00532D8B"/>
    <w:rsid w:val="005352C7"/>
    <w:rsid w:val="0054321B"/>
    <w:rsid w:val="00545933"/>
    <w:rsid w:val="00557544"/>
    <w:rsid w:val="00560D29"/>
    <w:rsid w:val="00572E9C"/>
    <w:rsid w:val="0058096D"/>
    <w:rsid w:val="005833D3"/>
    <w:rsid w:val="00584D41"/>
    <w:rsid w:val="00587875"/>
    <w:rsid w:val="00594652"/>
    <w:rsid w:val="005957FA"/>
    <w:rsid w:val="005A1E26"/>
    <w:rsid w:val="005A5FF3"/>
    <w:rsid w:val="005A6C8A"/>
    <w:rsid w:val="005C5DD6"/>
    <w:rsid w:val="005D23EF"/>
    <w:rsid w:val="005D55ED"/>
    <w:rsid w:val="00607E2B"/>
    <w:rsid w:val="00623CE1"/>
    <w:rsid w:val="00626C1C"/>
    <w:rsid w:val="0063062B"/>
    <w:rsid w:val="006361C5"/>
    <w:rsid w:val="0064533D"/>
    <w:rsid w:val="00667229"/>
    <w:rsid w:val="00682BE5"/>
    <w:rsid w:val="00690E44"/>
    <w:rsid w:val="00690FED"/>
    <w:rsid w:val="006939A5"/>
    <w:rsid w:val="006A02CF"/>
    <w:rsid w:val="006A4000"/>
    <w:rsid w:val="006C6A4A"/>
    <w:rsid w:val="006D1989"/>
    <w:rsid w:val="006D5B4F"/>
    <w:rsid w:val="006F7F5D"/>
    <w:rsid w:val="00712451"/>
    <w:rsid w:val="00726675"/>
    <w:rsid w:val="00732F08"/>
    <w:rsid w:val="0074190C"/>
    <w:rsid w:val="00744FC9"/>
    <w:rsid w:val="00760353"/>
    <w:rsid w:val="00762576"/>
    <w:rsid w:val="007767AE"/>
    <w:rsid w:val="00790CB8"/>
    <w:rsid w:val="00791060"/>
    <w:rsid w:val="00793094"/>
    <w:rsid w:val="00796AD0"/>
    <w:rsid w:val="007A507E"/>
    <w:rsid w:val="007B00DD"/>
    <w:rsid w:val="007B1C32"/>
    <w:rsid w:val="007B5626"/>
    <w:rsid w:val="007F5558"/>
    <w:rsid w:val="0080570B"/>
    <w:rsid w:val="008148E1"/>
    <w:rsid w:val="00820C09"/>
    <w:rsid w:val="008215B7"/>
    <w:rsid w:val="008319BF"/>
    <w:rsid w:val="00841684"/>
    <w:rsid w:val="00856B47"/>
    <w:rsid w:val="00895FD1"/>
    <w:rsid w:val="008971C9"/>
    <w:rsid w:val="008A303D"/>
    <w:rsid w:val="008B5DB5"/>
    <w:rsid w:val="008B7FE4"/>
    <w:rsid w:val="008C366E"/>
    <w:rsid w:val="008D0E09"/>
    <w:rsid w:val="008E2A8A"/>
    <w:rsid w:val="00902159"/>
    <w:rsid w:val="00920316"/>
    <w:rsid w:val="00925F15"/>
    <w:rsid w:val="009270FC"/>
    <w:rsid w:val="00932174"/>
    <w:rsid w:val="00947F50"/>
    <w:rsid w:val="00973B6A"/>
    <w:rsid w:val="0097693B"/>
    <w:rsid w:val="00990B3A"/>
    <w:rsid w:val="00993355"/>
    <w:rsid w:val="00994BE2"/>
    <w:rsid w:val="009A4A6D"/>
    <w:rsid w:val="009E0896"/>
    <w:rsid w:val="00A13265"/>
    <w:rsid w:val="00A30513"/>
    <w:rsid w:val="00A33E63"/>
    <w:rsid w:val="00A355EA"/>
    <w:rsid w:val="00A35F5E"/>
    <w:rsid w:val="00A534F2"/>
    <w:rsid w:val="00A568C9"/>
    <w:rsid w:val="00A643D6"/>
    <w:rsid w:val="00A708EC"/>
    <w:rsid w:val="00A71136"/>
    <w:rsid w:val="00A93011"/>
    <w:rsid w:val="00AA474C"/>
    <w:rsid w:val="00AB4C6A"/>
    <w:rsid w:val="00AB562B"/>
    <w:rsid w:val="00AC0BB8"/>
    <w:rsid w:val="00AC45DE"/>
    <w:rsid w:val="00AD7E5F"/>
    <w:rsid w:val="00B01AA1"/>
    <w:rsid w:val="00B111B6"/>
    <w:rsid w:val="00B22DAC"/>
    <w:rsid w:val="00B30C81"/>
    <w:rsid w:val="00B4379A"/>
    <w:rsid w:val="00B4793B"/>
    <w:rsid w:val="00B559D9"/>
    <w:rsid w:val="00B57152"/>
    <w:rsid w:val="00B63C0E"/>
    <w:rsid w:val="00B73DC5"/>
    <w:rsid w:val="00B83173"/>
    <w:rsid w:val="00BB1124"/>
    <w:rsid w:val="00BB13C5"/>
    <w:rsid w:val="00BC618A"/>
    <w:rsid w:val="00BD16C7"/>
    <w:rsid w:val="00BD5FFF"/>
    <w:rsid w:val="00BE7C7D"/>
    <w:rsid w:val="00C15633"/>
    <w:rsid w:val="00C15799"/>
    <w:rsid w:val="00C25563"/>
    <w:rsid w:val="00C27D52"/>
    <w:rsid w:val="00C354B6"/>
    <w:rsid w:val="00C357AD"/>
    <w:rsid w:val="00C46518"/>
    <w:rsid w:val="00C6069C"/>
    <w:rsid w:val="00C76288"/>
    <w:rsid w:val="00CD5431"/>
    <w:rsid w:val="00CF2491"/>
    <w:rsid w:val="00D0001A"/>
    <w:rsid w:val="00D109BC"/>
    <w:rsid w:val="00D1252E"/>
    <w:rsid w:val="00D13B41"/>
    <w:rsid w:val="00D2370E"/>
    <w:rsid w:val="00D25DA1"/>
    <w:rsid w:val="00D30301"/>
    <w:rsid w:val="00D36655"/>
    <w:rsid w:val="00D514A7"/>
    <w:rsid w:val="00D57772"/>
    <w:rsid w:val="00D6176A"/>
    <w:rsid w:val="00D75A4D"/>
    <w:rsid w:val="00D81199"/>
    <w:rsid w:val="00D8478B"/>
    <w:rsid w:val="00D86151"/>
    <w:rsid w:val="00D918A8"/>
    <w:rsid w:val="00D95079"/>
    <w:rsid w:val="00DA2729"/>
    <w:rsid w:val="00DA7595"/>
    <w:rsid w:val="00DB0A68"/>
    <w:rsid w:val="00DB3F92"/>
    <w:rsid w:val="00DC289E"/>
    <w:rsid w:val="00DC43A3"/>
    <w:rsid w:val="00DD7C09"/>
    <w:rsid w:val="00DF7AA9"/>
    <w:rsid w:val="00E0124F"/>
    <w:rsid w:val="00E01F5C"/>
    <w:rsid w:val="00E64A36"/>
    <w:rsid w:val="00E674D3"/>
    <w:rsid w:val="00E70FD0"/>
    <w:rsid w:val="00E864CB"/>
    <w:rsid w:val="00E93BF6"/>
    <w:rsid w:val="00EB02F4"/>
    <w:rsid w:val="00EB54D6"/>
    <w:rsid w:val="00EB65CC"/>
    <w:rsid w:val="00F1493C"/>
    <w:rsid w:val="00F333E2"/>
    <w:rsid w:val="00F440E3"/>
    <w:rsid w:val="00F444F1"/>
    <w:rsid w:val="00F50054"/>
    <w:rsid w:val="00F52E10"/>
    <w:rsid w:val="00F84067"/>
    <w:rsid w:val="00F854E1"/>
    <w:rsid w:val="00F97355"/>
    <w:rsid w:val="00FB4A47"/>
    <w:rsid w:val="00FD3D07"/>
    <w:rsid w:val="00FE51C9"/>
    <w:rsid w:val="00FF113E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styleId="BalloonText">
    <w:name w:val="Balloon Text"/>
    <w:basedOn w:val="Normal"/>
    <w:link w:val="BalloonTextChar"/>
    <w:rsid w:val="00925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5F15"/>
    <w:rPr>
      <w:rFonts w:ascii="Tahoma" w:eastAsia="BatangChe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790CB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90B3A"/>
    <w:rPr>
      <w:rFonts w:eastAsia="BatangChe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64A36"/>
    <w:pPr>
      <w:numPr>
        <w:numId w:val="12"/>
      </w:numPr>
      <w:tabs>
        <w:tab w:val="center" w:pos="4660"/>
        <w:tab w:val="right" w:pos="9320"/>
      </w:tabs>
      <w:ind w:left="0" w:firstLine="0"/>
      <w:jc w:val="both"/>
    </w:pPr>
  </w:style>
  <w:style w:type="character" w:customStyle="1" w:styleId="MTDisplayEquationChar">
    <w:name w:val="MTDisplayEquation Char"/>
    <w:basedOn w:val="ListParagraphChar"/>
    <w:link w:val="MTDisplayEquation"/>
    <w:rsid w:val="00E64A36"/>
    <w:rPr>
      <w:rFonts w:eastAsia="BatangChe"/>
      <w:sz w:val="24"/>
      <w:szCs w:val="24"/>
    </w:rPr>
  </w:style>
  <w:style w:type="character" w:styleId="FootnoteReference">
    <w:name w:val="footnote reference"/>
    <w:aliases w:val="Appel note de bas de p,Footnote Reference/,Style 12,(NECG) Footnote Reference,Style 124,Style 13,Footnote symbol"/>
    <w:basedOn w:val="DefaultParagraphFont"/>
    <w:uiPriority w:val="99"/>
    <w:rsid w:val="00EB02F4"/>
    <w:rPr>
      <w:rFonts w:cs="Times New Roman"/>
      <w:position w:val="6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styleId="BalloonText">
    <w:name w:val="Balloon Text"/>
    <w:basedOn w:val="Normal"/>
    <w:link w:val="BalloonTextChar"/>
    <w:rsid w:val="00925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5F15"/>
    <w:rPr>
      <w:rFonts w:ascii="Tahoma" w:eastAsia="BatangChe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790CB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90B3A"/>
    <w:rPr>
      <w:rFonts w:eastAsia="BatangChe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64A36"/>
    <w:pPr>
      <w:numPr>
        <w:numId w:val="12"/>
      </w:numPr>
      <w:tabs>
        <w:tab w:val="center" w:pos="4660"/>
        <w:tab w:val="right" w:pos="9320"/>
      </w:tabs>
      <w:ind w:left="0" w:firstLine="0"/>
      <w:jc w:val="both"/>
    </w:pPr>
  </w:style>
  <w:style w:type="character" w:customStyle="1" w:styleId="MTDisplayEquationChar">
    <w:name w:val="MTDisplayEquation Char"/>
    <w:basedOn w:val="ListParagraphChar"/>
    <w:link w:val="MTDisplayEquation"/>
    <w:rsid w:val="00E64A36"/>
    <w:rPr>
      <w:rFonts w:eastAsia="BatangChe"/>
      <w:sz w:val="24"/>
      <w:szCs w:val="24"/>
    </w:rPr>
  </w:style>
  <w:style w:type="character" w:styleId="FootnoteReference">
    <w:name w:val="footnote reference"/>
    <w:aliases w:val="Appel note de bas de p,Footnote Reference/,Style 12,(NECG) Footnote Reference,Style 124,Style 13,Footnote symbol"/>
    <w:basedOn w:val="DefaultParagraphFont"/>
    <w:uiPriority w:val="99"/>
    <w:rsid w:val="00EB02F4"/>
    <w:rPr>
      <w:rFonts w:cs="Times New Roman"/>
      <w:position w:val="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B7303-3A0A-4300-B6DA-1E7759CF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3</cp:revision>
  <cp:lastPrinted>2013-07-04T05:37:00Z</cp:lastPrinted>
  <dcterms:created xsi:type="dcterms:W3CDTF">2013-07-16T05:01:00Z</dcterms:created>
  <dcterms:modified xsi:type="dcterms:W3CDTF">2013-07-16T05:01:00Z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