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A2316E"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4540" cy="668655"/>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540" cy="668655"/>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891D0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355016">
            <w:pPr>
              <w:spacing w:line="0" w:lineRule="atLeast"/>
            </w:pPr>
            <w:r>
              <w:rPr>
                <w:b/>
              </w:rPr>
              <w:t>The APT Conference Prepar</w:t>
            </w:r>
            <w:r w:rsidR="003209E0">
              <w:rPr>
                <w:b/>
              </w:rPr>
              <w:t xml:space="preserve">atory  Group for WRC-15 </w:t>
            </w:r>
          </w:p>
        </w:tc>
        <w:tc>
          <w:tcPr>
            <w:tcW w:w="2340" w:type="dxa"/>
            <w:gridSpan w:val="2"/>
            <w:tcBorders>
              <w:top w:val="nil"/>
              <w:left w:val="nil"/>
              <w:bottom w:val="nil"/>
              <w:right w:val="nil"/>
            </w:tcBorders>
          </w:tcPr>
          <w:p w:rsidR="00295D9B" w:rsidRPr="00C15799" w:rsidRDefault="00295D9B" w:rsidP="003209E0">
            <w:pPr>
              <w:rPr>
                <w:b/>
                <w:bCs/>
                <w:lang w:val="fr-FR"/>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3209E0"/>
        </w:tc>
        <w:tc>
          <w:tcPr>
            <w:tcW w:w="2340" w:type="dxa"/>
            <w:gridSpan w:val="2"/>
            <w:tcBorders>
              <w:top w:val="nil"/>
              <w:left w:val="nil"/>
              <w:bottom w:val="single" w:sz="12" w:space="0" w:color="auto"/>
              <w:right w:val="nil"/>
            </w:tcBorders>
          </w:tcPr>
          <w:p w:rsidR="00295D9B" w:rsidRPr="00712451" w:rsidRDefault="00295D9B" w:rsidP="003209E0">
            <w:pPr>
              <w:rPr>
                <w:b/>
              </w:rPr>
            </w:pPr>
          </w:p>
        </w:tc>
      </w:tr>
    </w:tbl>
    <w:p w:rsidR="00DA7595" w:rsidRDefault="00962B4E" w:rsidP="00DA7595">
      <w:pPr>
        <w:rPr>
          <w:lang w:eastAsia="ko-KR"/>
        </w:rPr>
      </w:pPr>
      <w:r>
        <w:rPr>
          <w:lang w:eastAsia="ko-KR"/>
        </w:rPr>
        <w:t xml:space="preserve">Source: </w:t>
      </w:r>
      <w:r w:rsidR="00355016">
        <w:rPr>
          <w:lang w:eastAsia="ko-KR"/>
        </w:rPr>
        <w:t>APG15-3/OUT-06</w:t>
      </w:r>
    </w:p>
    <w:p w:rsidR="00D13B41" w:rsidRDefault="00D13B41" w:rsidP="00DA7595">
      <w:pPr>
        <w:jc w:val="center"/>
        <w:rPr>
          <w:b/>
          <w:sz w:val="28"/>
          <w:szCs w:val="28"/>
          <w:lang w:eastAsia="ko-KR"/>
        </w:rPr>
      </w:pPr>
    </w:p>
    <w:p w:rsidR="00C357AD" w:rsidRPr="00607E2B" w:rsidRDefault="00D1252E" w:rsidP="0063062B">
      <w:pPr>
        <w:jc w:val="center"/>
        <w:rPr>
          <w:b/>
          <w:bCs/>
          <w:caps/>
          <w:sz w:val="28"/>
          <w:szCs w:val="28"/>
        </w:rPr>
      </w:pPr>
      <w:r>
        <w:rPr>
          <w:b/>
          <w:bCs/>
          <w:caps/>
          <w:sz w:val="28"/>
          <w:szCs w:val="28"/>
        </w:rPr>
        <w:t>preliminary v</w:t>
      </w:r>
      <w:r w:rsidR="00017D59">
        <w:rPr>
          <w:b/>
          <w:bCs/>
          <w:caps/>
          <w:sz w:val="28"/>
          <w:szCs w:val="28"/>
        </w:rPr>
        <w:t xml:space="preserve">iews on </w:t>
      </w:r>
      <w:r w:rsidR="004F2D94">
        <w:rPr>
          <w:rFonts w:eastAsia="MS Mincho" w:hint="eastAsia"/>
          <w:b/>
          <w:bCs/>
          <w:caps/>
          <w:sz w:val="28"/>
          <w:szCs w:val="28"/>
          <w:lang w:eastAsia="ja-JP"/>
        </w:rPr>
        <w:t xml:space="preserve">satellite issues of </w:t>
      </w:r>
      <w:r w:rsidR="00017D59">
        <w:rPr>
          <w:b/>
          <w:bCs/>
          <w:caps/>
          <w:sz w:val="28"/>
          <w:szCs w:val="28"/>
        </w:rPr>
        <w:t>WRC-15</w:t>
      </w:r>
      <w:r w:rsidR="00F3466C">
        <w:rPr>
          <w:b/>
          <w:bCs/>
          <w:caps/>
          <w:sz w:val="28"/>
          <w:szCs w:val="28"/>
        </w:rPr>
        <w:t xml:space="preserve"> agenda item 9.1</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58799F" w:rsidRPr="0058799F" w:rsidRDefault="0058799F" w:rsidP="0058799F">
      <w:pPr>
        <w:jc w:val="both"/>
        <w:rPr>
          <w:rFonts w:eastAsia="Times New Roman"/>
          <w:b/>
          <w:lang w:eastAsia="ja-JP"/>
        </w:rPr>
      </w:pPr>
      <w:r w:rsidRPr="0058799F">
        <w:rPr>
          <w:rFonts w:eastAsia="Times New Roman" w:hint="eastAsia"/>
          <w:b/>
          <w:lang w:eastAsia="ja-JP"/>
        </w:rPr>
        <w:t>Agenda Item 9.1:</w:t>
      </w:r>
    </w:p>
    <w:p w:rsidR="0058799F" w:rsidRPr="00D514A7" w:rsidRDefault="0058799F" w:rsidP="0058799F">
      <w:pPr>
        <w:rPr>
          <w:i/>
        </w:rPr>
      </w:pPr>
      <w:r w:rsidRPr="00D514A7">
        <w:rPr>
          <w:i/>
        </w:rPr>
        <w:t>to consider and approve the Report of the Director of the Radiocommunication Bureau, in accordance with Article 7 of the Convention</w:t>
      </w:r>
      <w:r w:rsidRPr="0058799F">
        <w:rPr>
          <w:rFonts w:eastAsia="Times New Roman" w:hint="eastAsia"/>
          <w:i/>
          <w:lang w:eastAsia="ja-JP"/>
        </w:rPr>
        <w:t xml:space="preserve"> </w:t>
      </w:r>
      <w:r w:rsidRPr="00D514A7">
        <w:rPr>
          <w:i/>
        </w:rPr>
        <w:t>on the activities of the Radiocommunication Sector since WRC</w:t>
      </w:r>
      <w:r w:rsidRPr="00D514A7">
        <w:rPr>
          <w:i/>
        </w:rPr>
        <w:noBreakHyphen/>
        <w:t>12;</w:t>
      </w:r>
    </w:p>
    <w:p w:rsidR="0058799F" w:rsidRPr="0058799F" w:rsidRDefault="0058799F" w:rsidP="0058799F">
      <w:pPr>
        <w:jc w:val="both"/>
        <w:rPr>
          <w:rFonts w:eastAsia="Times New Roman"/>
          <w:b/>
          <w:lang w:eastAsia="ja-JP"/>
        </w:rPr>
      </w:pPr>
    </w:p>
    <w:p w:rsidR="0058799F" w:rsidRPr="0058799F" w:rsidRDefault="0058799F" w:rsidP="0058799F">
      <w:pPr>
        <w:jc w:val="both"/>
        <w:rPr>
          <w:rFonts w:eastAsia="Times New Roman"/>
          <w:lang w:eastAsia="ja-JP"/>
        </w:rPr>
      </w:pPr>
      <w:r w:rsidRPr="00DA3810">
        <w:rPr>
          <w:rFonts w:eastAsia="MS Mincho"/>
          <w:b/>
          <w:lang w:eastAsia="ja-JP"/>
        </w:rPr>
        <w:t>Issue</w:t>
      </w:r>
      <w:r>
        <w:rPr>
          <w:b/>
        </w:rPr>
        <w:t xml:space="preserve"> </w:t>
      </w:r>
      <w:r>
        <w:rPr>
          <w:rFonts w:eastAsia="MS Mincho" w:hint="eastAsia"/>
          <w:b/>
          <w:lang w:eastAsia="ja-JP"/>
        </w:rPr>
        <w:t>9.1</w:t>
      </w:r>
      <w:r>
        <w:rPr>
          <w:b/>
        </w:rPr>
        <w:t>.1</w:t>
      </w:r>
      <w:r w:rsidRPr="0058799F">
        <w:rPr>
          <w:rFonts w:eastAsia="Times New Roman" w:hint="eastAsia"/>
          <w:b/>
          <w:lang w:eastAsia="ja-JP"/>
        </w:rPr>
        <w:t>:</w:t>
      </w:r>
    </w:p>
    <w:p w:rsidR="0058799F" w:rsidRPr="0058799F" w:rsidRDefault="0058799F" w:rsidP="00355016">
      <w:pPr>
        <w:rPr>
          <w:rFonts w:eastAsia="Times New Roman"/>
          <w:b/>
          <w:lang w:eastAsia="ja-JP"/>
        </w:rPr>
      </w:pPr>
      <w:r w:rsidRPr="009054F3">
        <w:rPr>
          <w:i/>
          <w:lang w:val="en-AU"/>
        </w:rPr>
        <w:t xml:space="preserve">Resolution </w:t>
      </w:r>
      <w:r w:rsidRPr="009054F3">
        <w:rPr>
          <w:b/>
          <w:i/>
          <w:lang w:val="en-AU"/>
        </w:rPr>
        <w:t>205 (Rev.WRC-12</w:t>
      </w:r>
      <w:r w:rsidRPr="0058799F">
        <w:rPr>
          <w:rFonts w:eastAsia="Times New Roman" w:hint="eastAsia"/>
          <w:b/>
          <w:i/>
          <w:lang w:val="en-AU" w:eastAsia="ja-JP"/>
        </w:rPr>
        <w:t>)</w:t>
      </w:r>
      <w:r w:rsidRPr="0058799F">
        <w:rPr>
          <w:rFonts w:eastAsia="Times New Roman" w:hint="eastAsia"/>
          <w:lang w:val="en-AU" w:eastAsia="ja-JP"/>
        </w:rPr>
        <w:t xml:space="preserve"> -</w:t>
      </w:r>
      <w:r w:rsidRPr="009054F3">
        <w:rPr>
          <w:i/>
          <w:lang w:val="en-AU"/>
        </w:rPr>
        <w:t xml:space="preserve"> Protection of the systems operating in the mobile- satellite service in the band 406-406.1 MHz</w:t>
      </w:r>
      <w:r w:rsidRPr="009054F3">
        <w:rPr>
          <w:i/>
          <w:lang w:val="en-AU"/>
        </w:rPr>
        <w:br/>
      </w:r>
    </w:p>
    <w:p w:rsidR="0058799F" w:rsidRDefault="0058799F" w:rsidP="004F2D94">
      <w:pPr>
        <w:spacing w:afterLines="50" w:after="120"/>
        <w:jc w:val="both"/>
        <w:rPr>
          <w:b/>
        </w:rPr>
      </w:pPr>
      <w:r>
        <w:rPr>
          <w:b/>
        </w:rPr>
        <w:t>APT Preliminary Views:</w:t>
      </w:r>
    </w:p>
    <w:p w:rsidR="0058799F" w:rsidRPr="0058799F" w:rsidRDefault="0058799F" w:rsidP="00355016">
      <w:pPr>
        <w:widowControl w:val="0"/>
        <w:suppressAutoHyphens/>
        <w:adjustRightInd w:val="0"/>
        <w:jc w:val="both"/>
        <w:textAlignment w:val="baseline"/>
        <w:rPr>
          <w:rFonts w:eastAsia="Times New Roman"/>
          <w:snapToGrid w:val="0"/>
          <w:lang w:val="en-AU" w:eastAsia="ja-JP"/>
        </w:rPr>
      </w:pPr>
      <w:r w:rsidRPr="0058799F">
        <w:rPr>
          <w:rFonts w:eastAsia="Times New Roman"/>
          <w:lang w:eastAsia="ja-JP"/>
        </w:rPr>
        <w:t xml:space="preserve">APT Members support appropriate regulatory, technical and operational studies with a view to ensure the adequate protection of MSS systems in the frequency band 406-406.1 MHz from any emissions that could cause harmful interference.  </w:t>
      </w:r>
      <w:r w:rsidRPr="0058799F">
        <w:rPr>
          <w:rFonts w:eastAsia="Times New Roman" w:hint="eastAsia"/>
          <w:lang w:eastAsia="ja-JP"/>
        </w:rPr>
        <w:t>However,</w:t>
      </w:r>
      <w:r w:rsidRPr="0058799F">
        <w:rPr>
          <w:rFonts w:eastAsia="Times New Roman"/>
          <w:lang w:eastAsia="ja-JP"/>
        </w:rPr>
        <w:t xml:space="preserve"> all incumbent services to which the relevant bands are allocated should be protected for existing and planned assignments and undue constraints should not be imposed on such assignments.</w:t>
      </w:r>
    </w:p>
    <w:p w:rsidR="00355016" w:rsidRDefault="00355016" w:rsidP="00E32D38">
      <w:pPr>
        <w:jc w:val="both"/>
        <w:rPr>
          <w:rFonts w:eastAsia="Times New Roman"/>
          <w:b/>
          <w:lang w:eastAsia="ja-JP"/>
        </w:rPr>
      </w:pPr>
    </w:p>
    <w:p w:rsidR="00E32D38" w:rsidRPr="00744FC9" w:rsidRDefault="00E32D38" w:rsidP="00E32D38">
      <w:pPr>
        <w:jc w:val="both"/>
        <w:rPr>
          <w:rFonts w:eastAsia="Times New Roman"/>
          <w:lang w:eastAsia="ja-JP"/>
        </w:rPr>
      </w:pPr>
      <w:r>
        <w:rPr>
          <w:rFonts w:eastAsia="Times New Roman" w:hint="eastAsia"/>
          <w:b/>
          <w:lang w:eastAsia="ja-JP"/>
        </w:rPr>
        <w:t>Issue</w:t>
      </w:r>
      <w:r>
        <w:rPr>
          <w:rFonts w:eastAsia="Times New Roman"/>
          <w:b/>
          <w:lang w:eastAsia="ja-JP"/>
        </w:rPr>
        <w:t xml:space="preserve"> </w:t>
      </w:r>
      <w:r>
        <w:rPr>
          <w:b/>
        </w:rPr>
        <w:t>9.1.2</w:t>
      </w:r>
      <w:r>
        <w:rPr>
          <w:rFonts w:eastAsia="Times New Roman" w:hint="eastAsia"/>
          <w:b/>
          <w:lang w:eastAsia="ja-JP"/>
        </w:rPr>
        <w:t>:</w:t>
      </w:r>
    </w:p>
    <w:p w:rsidR="00E32D38" w:rsidRPr="00087678" w:rsidRDefault="00E32D38" w:rsidP="00087678">
      <w:pPr>
        <w:rPr>
          <w:rFonts w:eastAsia="MS Mincho"/>
          <w:i/>
          <w:lang w:eastAsia="ja-JP"/>
        </w:rPr>
      </w:pPr>
      <w:r>
        <w:rPr>
          <w:rFonts w:eastAsia="MS Mincho"/>
          <w:bCs/>
          <w:i/>
          <w:color w:val="000000"/>
          <w:lang w:eastAsia="ja-JP"/>
        </w:rPr>
        <w:t xml:space="preserve">Resolution </w:t>
      </w:r>
      <w:r w:rsidRPr="004B2F24">
        <w:rPr>
          <w:rFonts w:eastAsia="MS Mincho"/>
          <w:b/>
          <w:bCs/>
          <w:i/>
          <w:color w:val="000000"/>
          <w:lang w:eastAsia="ja-JP"/>
        </w:rPr>
        <w:t>756 (WRC-12)</w:t>
      </w:r>
      <w:r>
        <w:rPr>
          <w:rFonts w:eastAsia="Times New Roman" w:hint="eastAsia"/>
          <w:bCs/>
          <w:color w:val="000000"/>
          <w:lang w:eastAsia="ja-JP"/>
        </w:rPr>
        <w:t xml:space="preserve"> -</w:t>
      </w:r>
      <w:r>
        <w:rPr>
          <w:rFonts w:eastAsia="MS Mincho"/>
          <w:bCs/>
          <w:i/>
          <w:color w:val="000000"/>
          <w:lang w:eastAsia="ja-JP"/>
        </w:rPr>
        <w:t xml:space="preserve"> S</w:t>
      </w:r>
      <w:r w:rsidRPr="004B2F24">
        <w:rPr>
          <w:rFonts w:eastAsia="MS Mincho" w:hint="eastAsia"/>
          <w:bCs/>
          <w:i/>
          <w:color w:val="000000"/>
          <w:lang w:eastAsia="ja-JP"/>
        </w:rPr>
        <w:t>tudies</w:t>
      </w:r>
      <w:r w:rsidRPr="004B2F24">
        <w:rPr>
          <w:rFonts w:eastAsia="MS Mincho"/>
          <w:bCs/>
          <w:i/>
          <w:color w:val="000000"/>
          <w:lang w:eastAsia="ja-JP"/>
        </w:rPr>
        <w:t xml:space="preserve"> on possible reduction of the coordination arc and technical criteria used</w:t>
      </w:r>
      <w:r>
        <w:rPr>
          <w:rFonts w:eastAsia="MS Mincho"/>
          <w:bCs/>
          <w:i/>
          <w:color w:val="000000"/>
          <w:lang w:eastAsia="ja-JP"/>
        </w:rPr>
        <w:t xml:space="preserve"> </w:t>
      </w:r>
      <w:r w:rsidRPr="004B2F24">
        <w:rPr>
          <w:rFonts w:eastAsia="MS Mincho"/>
          <w:bCs/>
          <w:i/>
          <w:color w:val="000000"/>
          <w:lang w:eastAsia="ja-JP"/>
        </w:rPr>
        <w:t>in application of No. 9.41 in respect of coordination under No. 9.7</w:t>
      </w:r>
    </w:p>
    <w:p w:rsidR="00E32D38" w:rsidRDefault="00E32D38" w:rsidP="00E32D38">
      <w:pPr>
        <w:jc w:val="both"/>
      </w:pPr>
    </w:p>
    <w:p w:rsidR="00E32D38" w:rsidRDefault="00E32D38" w:rsidP="004F2D94">
      <w:pPr>
        <w:spacing w:afterLines="50" w:after="120"/>
        <w:jc w:val="both"/>
        <w:rPr>
          <w:b/>
        </w:rPr>
      </w:pPr>
      <w:r>
        <w:rPr>
          <w:b/>
        </w:rPr>
        <w:t>APT Preliminary Views:</w:t>
      </w:r>
    </w:p>
    <w:p w:rsidR="00E32D38" w:rsidRDefault="00E32D38" w:rsidP="00355016">
      <w:pPr>
        <w:jc w:val="both"/>
      </w:pPr>
      <w:r w:rsidRPr="005851C0">
        <w:t xml:space="preserve">Based upon the above </w:t>
      </w:r>
      <w:r>
        <w:t xml:space="preserve">presentation and </w:t>
      </w:r>
      <w:r w:rsidRPr="005851C0">
        <w:t>discussion</w:t>
      </w:r>
      <w:r>
        <w:t xml:space="preserve"> therein</w:t>
      </w:r>
      <w:r w:rsidRPr="005851C0">
        <w:t>,</w:t>
      </w:r>
      <w:r>
        <w:t xml:space="preserve"> on the Resolution 756 (WRC12) and the response to the said resolution, </w:t>
      </w:r>
      <w:r w:rsidRPr="005851C0">
        <w:t>the AP</w:t>
      </w:r>
      <w:r w:rsidR="00F10A36">
        <w:t>T has the following preliminar</w:t>
      </w:r>
      <w:r w:rsidR="00F10A36">
        <w:rPr>
          <w:rFonts w:eastAsia="MS Mincho" w:hint="eastAsia"/>
          <w:lang w:eastAsia="ja-JP"/>
        </w:rPr>
        <w:t xml:space="preserve">y </w:t>
      </w:r>
      <w:r w:rsidRPr="005851C0">
        <w:t>views:</w:t>
      </w:r>
    </w:p>
    <w:p w:rsidR="00E32D38" w:rsidRDefault="00E32D38" w:rsidP="00E32D38">
      <w:pPr>
        <w:jc w:val="both"/>
      </w:pPr>
    </w:p>
    <w:p w:rsidR="00E32D38" w:rsidRDefault="00E32D38" w:rsidP="004F2D94">
      <w:pPr>
        <w:numPr>
          <w:ilvl w:val="0"/>
          <w:numId w:val="12"/>
        </w:numPr>
        <w:spacing w:afterLines="50" w:after="120"/>
        <w:jc w:val="both"/>
      </w:pPr>
      <w:r>
        <w:t xml:space="preserve"> APT Members are of the view that the reduction of coordination arc is directly related to applic</w:t>
      </w:r>
      <w:r w:rsidR="00F10A36">
        <w:t xml:space="preserve">ation of RR 9.41. The issue is </w:t>
      </w:r>
      <w:r>
        <w:t xml:space="preserve">complex and currently is being studied under ITU-R Study Groups (WP4A). The reduction in size of coordination arc may reduce the requirement of coordination under RR 9.7 and RR9.27 and Appendix 5 to the RR but it may increase the amount of work </w:t>
      </w:r>
      <w:r w:rsidR="00F10A36">
        <w:t xml:space="preserve">to be carried out under RR 9.41. </w:t>
      </w:r>
      <w:r w:rsidRPr="004F2D94">
        <w:rPr>
          <w:rFonts w:eastAsia="Times New Roman" w:hint="eastAsia"/>
          <w:lang w:eastAsia="ja-JP"/>
        </w:rPr>
        <w:t>This reduction might have an adverse impact on the existing networks.</w:t>
      </w:r>
      <w:r>
        <w:t xml:space="preserve"> </w:t>
      </w:r>
    </w:p>
    <w:p w:rsidR="00E32D38" w:rsidRPr="004F2D94" w:rsidRDefault="00E32D38" w:rsidP="004F2D94">
      <w:pPr>
        <w:numPr>
          <w:ilvl w:val="0"/>
          <w:numId w:val="12"/>
        </w:numPr>
        <w:spacing w:afterLines="50" w:after="120"/>
        <w:jc w:val="both"/>
        <w:rPr>
          <w:rFonts w:eastAsia="MS Mincho"/>
          <w:lang w:eastAsia="ja-JP"/>
        </w:rPr>
      </w:pPr>
      <w:r>
        <w:t xml:space="preserve">Use of </w:t>
      </w:r>
      <w:proofErr w:type="spellStart"/>
      <w:r>
        <w:t>pfd</w:t>
      </w:r>
      <w:proofErr w:type="spellEnd"/>
      <w:r>
        <w:t xml:space="preserve"> masks may ease the task of coordination for incoming satellite network but it might have adverse impact on the sensitive existing networks coordinated and notified under the Radio Regulations. The regulatory implementation of </w:t>
      </w:r>
      <w:proofErr w:type="spellStart"/>
      <w:r>
        <w:t>pfd</w:t>
      </w:r>
      <w:proofErr w:type="spellEnd"/>
      <w:r>
        <w:t xml:space="preserve"> masks under relevant provisions is also a matter to be studied.</w:t>
      </w:r>
    </w:p>
    <w:p w:rsidR="00E32D38" w:rsidRPr="00D1335D" w:rsidRDefault="00E32D38" w:rsidP="004F2D94">
      <w:pPr>
        <w:numPr>
          <w:ilvl w:val="0"/>
          <w:numId w:val="12"/>
        </w:numPr>
        <w:spacing w:afterLines="50" w:after="120"/>
        <w:jc w:val="both"/>
      </w:pPr>
      <w:r>
        <w:t xml:space="preserve">APT supports the studies being carried out within the WP4A and such a work </w:t>
      </w:r>
      <w:r w:rsidRPr="004F2D94">
        <w:rPr>
          <w:rFonts w:eastAsia="Times New Roman" w:hint="eastAsia"/>
          <w:lang w:eastAsia="ja-JP"/>
        </w:rPr>
        <w:t>should</w:t>
      </w:r>
      <w:r>
        <w:t xml:space="preserve"> continue in a comprehensive manner including consideration of increasing </w:t>
      </w:r>
      <w:r w:rsidRPr="004F2D94">
        <w:rPr>
          <w:rFonts w:eastAsia="Times New Roman" w:hint="eastAsia"/>
          <w:lang w:eastAsia="ja-JP"/>
        </w:rPr>
        <w:t xml:space="preserve">the </w:t>
      </w:r>
      <w:r w:rsidRPr="004F2D94">
        <w:rPr>
          <w:rFonts w:ascii="Symbol" w:eastAsia="MS Mincho" w:hAnsi="Symbol"/>
          <w:lang w:eastAsia="ja-JP"/>
        </w:rPr>
        <w:t></w:t>
      </w:r>
      <w:r w:rsidRPr="004F2D94">
        <w:rPr>
          <w:rFonts w:eastAsia="MS Mincho" w:hint="eastAsia"/>
          <w:lang w:eastAsia="ja-JP"/>
        </w:rPr>
        <w:t>T/T</w:t>
      </w:r>
      <w:r w:rsidRPr="004F2D94">
        <w:rPr>
          <w:rFonts w:eastAsia="Times New Roman" w:hint="eastAsia"/>
          <w:lang w:eastAsia="ja-JP"/>
        </w:rPr>
        <w:t xml:space="preserve"> coordination threshold</w:t>
      </w:r>
      <w:r w:rsidRPr="004F2D94">
        <w:rPr>
          <w:rFonts w:eastAsia="MS Mincho"/>
          <w:lang w:eastAsia="ja-JP"/>
        </w:rPr>
        <w:t>, redu</w:t>
      </w:r>
      <w:r w:rsidR="00F10A36" w:rsidRPr="004F2D94">
        <w:rPr>
          <w:rFonts w:eastAsia="MS Mincho"/>
          <w:lang w:eastAsia="ja-JP"/>
        </w:rPr>
        <w:t>ction of coordination arcs, determin</w:t>
      </w:r>
      <w:r w:rsidR="00F10A36" w:rsidRPr="004F2D94">
        <w:rPr>
          <w:rFonts w:eastAsia="MS Mincho" w:hint="eastAsia"/>
          <w:lang w:eastAsia="ja-JP"/>
        </w:rPr>
        <w:t>ation of</w:t>
      </w:r>
      <w:r w:rsidRPr="004F2D94">
        <w:rPr>
          <w:rFonts w:eastAsia="MS Mincho"/>
          <w:lang w:eastAsia="ja-JP"/>
        </w:rPr>
        <w:t xml:space="preserve"> the appropriate </w:t>
      </w:r>
      <w:proofErr w:type="spellStart"/>
      <w:r w:rsidRPr="004F2D94">
        <w:rPr>
          <w:rFonts w:eastAsia="MS Mincho"/>
          <w:lang w:eastAsia="ja-JP"/>
        </w:rPr>
        <w:lastRenderedPageBreak/>
        <w:t>pfd</w:t>
      </w:r>
      <w:proofErr w:type="spellEnd"/>
      <w:r w:rsidRPr="004F2D94">
        <w:rPr>
          <w:rFonts w:eastAsia="MS Mincho"/>
          <w:lang w:eastAsia="ja-JP"/>
        </w:rPr>
        <w:t xml:space="preserve"> masks, etc</w:t>
      </w:r>
      <w:r w:rsidR="00F10A36" w:rsidRPr="004F2D94">
        <w:rPr>
          <w:rFonts w:eastAsia="MS Mincho" w:hint="eastAsia"/>
          <w:lang w:eastAsia="ja-JP"/>
        </w:rPr>
        <w:t>.</w:t>
      </w:r>
      <w:r w:rsidR="00F10A36" w:rsidRPr="004F2D94">
        <w:rPr>
          <w:rFonts w:eastAsia="MS Mincho"/>
          <w:lang w:eastAsia="ja-JP"/>
        </w:rPr>
        <w:t xml:space="preserve">, along with </w:t>
      </w:r>
      <w:r w:rsidRPr="004F2D94">
        <w:rPr>
          <w:rFonts w:eastAsia="MS Mincho"/>
          <w:lang w:eastAsia="ja-JP"/>
        </w:rPr>
        <w:t xml:space="preserve">inter-related effects from one criterion to another. The related items to be thoroughly studied are contained partly in the above paragraphs.  </w:t>
      </w:r>
    </w:p>
    <w:p w:rsidR="00E32D38" w:rsidRPr="005110AA" w:rsidRDefault="00E32D38" w:rsidP="00B24A3A">
      <w:pPr>
        <w:numPr>
          <w:ilvl w:val="0"/>
          <w:numId w:val="12"/>
        </w:numPr>
        <w:jc w:val="both"/>
      </w:pPr>
      <w:r w:rsidRPr="005110AA">
        <w:t>APT will take into account the results of studies being carried out by ITU-R which become available before finalizing its views.</w:t>
      </w:r>
    </w:p>
    <w:p w:rsidR="00E32D38" w:rsidRDefault="00E32D38" w:rsidP="00E32D38">
      <w:pPr>
        <w:jc w:val="both"/>
        <w:rPr>
          <w:b/>
        </w:rPr>
      </w:pPr>
    </w:p>
    <w:p w:rsidR="0058799F" w:rsidRDefault="004F2D94" w:rsidP="0058799F">
      <w:pPr>
        <w:jc w:val="both"/>
      </w:pPr>
      <w:bookmarkStart w:id="0" w:name="_GoBack"/>
      <w:bookmarkEnd w:id="0"/>
      <w:r>
        <w:rPr>
          <w:rFonts w:eastAsia="MS Mincho" w:hint="eastAsia"/>
          <w:b/>
          <w:lang w:eastAsia="ja-JP"/>
        </w:rPr>
        <w:t xml:space="preserve">Issue </w:t>
      </w:r>
      <w:r w:rsidR="0058799F">
        <w:rPr>
          <w:rFonts w:eastAsia="MS Mincho" w:hint="eastAsia"/>
          <w:b/>
          <w:lang w:eastAsia="ja-JP"/>
        </w:rPr>
        <w:t>9.1</w:t>
      </w:r>
      <w:r w:rsidR="0058799F">
        <w:rPr>
          <w:b/>
        </w:rPr>
        <w:t>.</w:t>
      </w:r>
      <w:r w:rsidR="0058799F">
        <w:rPr>
          <w:rFonts w:eastAsia="MS Mincho" w:hint="eastAsia"/>
          <w:b/>
          <w:lang w:eastAsia="ja-JP"/>
        </w:rPr>
        <w:t>3</w:t>
      </w:r>
      <w:r w:rsidR="0058799F">
        <w:rPr>
          <w:b/>
        </w:rPr>
        <w:t xml:space="preserve">: </w:t>
      </w:r>
    </w:p>
    <w:p w:rsidR="0058799F" w:rsidRPr="0058799F" w:rsidRDefault="0058799F" w:rsidP="0058799F">
      <w:pPr>
        <w:tabs>
          <w:tab w:val="left" w:pos="1134"/>
          <w:tab w:val="left" w:pos="1871"/>
          <w:tab w:val="left" w:pos="2268"/>
        </w:tabs>
        <w:overflowPunct w:val="0"/>
        <w:autoSpaceDE w:val="0"/>
        <w:autoSpaceDN w:val="0"/>
        <w:adjustRightInd w:val="0"/>
        <w:spacing w:before="120"/>
        <w:jc w:val="both"/>
        <w:textAlignment w:val="baseline"/>
        <w:rPr>
          <w:rFonts w:eastAsia="Times New Roman" w:cs="Angsana New"/>
          <w:i/>
          <w:iCs/>
          <w:lang w:val="en-CA" w:eastAsia="ja-JP"/>
        </w:rPr>
      </w:pPr>
      <w:r>
        <w:rPr>
          <w:rFonts w:cs="Angsana New"/>
          <w:i/>
          <w:iCs/>
          <w:lang w:val="en-CA"/>
        </w:rPr>
        <w:t xml:space="preserve">Resolution </w:t>
      </w:r>
      <w:r w:rsidRPr="004B2F24">
        <w:rPr>
          <w:rFonts w:cs="Angsana New"/>
          <w:b/>
          <w:i/>
          <w:iCs/>
          <w:lang w:val="en-CA"/>
        </w:rPr>
        <w:t>11 (WRC-12)</w:t>
      </w:r>
      <w:r w:rsidRPr="0058799F">
        <w:rPr>
          <w:rFonts w:eastAsia="Times New Roman" w:cs="Angsana New" w:hint="eastAsia"/>
          <w:iCs/>
          <w:lang w:val="en-CA" w:eastAsia="ja-JP"/>
        </w:rPr>
        <w:t xml:space="preserve"> -</w:t>
      </w:r>
      <w:r>
        <w:rPr>
          <w:rFonts w:cs="Angsana New"/>
          <w:i/>
          <w:iCs/>
          <w:lang w:val="en-CA"/>
        </w:rPr>
        <w:t xml:space="preserve"> </w:t>
      </w:r>
      <w:r w:rsidRPr="00465DBF">
        <w:rPr>
          <w:rFonts w:cs="Angsana New"/>
          <w:i/>
          <w:iCs/>
          <w:lang w:val="en-CA"/>
        </w:rPr>
        <w:t>Use of satellite orbital positions and associated</w:t>
      </w:r>
      <w:r>
        <w:rPr>
          <w:rFonts w:cs="Angsana New"/>
          <w:i/>
          <w:iCs/>
          <w:lang w:val="en-CA"/>
        </w:rPr>
        <w:t xml:space="preserve"> </w:t>
      </w:r>
      <w:r w:rsidRPr="00465DBF">
        <w:rPr>
          <w:rFonts w:cs="Angsana New"/>
          <w:i/>
          <w:iCs/>
          <w:lang w:val="en-CA"/>
        </w:rPr>
        <w:t>frequency spectrum</w:t>
      </w:r>
      <w:r>
        <w:rPr>
          <w:rFonts w:cs="Angsana New"/>
          <w:i/>
          <w:iCs/>
          <w:lang w:val="en-CA"/>
        </w:rPr>
        <w:t xml:space="preserve"> to deliver international public </w:t>
      </w:r>
      <w:r w:rsidRPr="00465DBF">
        <w:rPr>
          <w:rFonts w:cs="Angsana New"/>
          <w:i/>
          <w:iCs/>
          <w:lang w:val="en-CA"/>
        </w:rPr>
        <w:t>telecommunication services in developing countries</w:t>
      </w:r>
    </w:p>
    <w:p w:rsidR="0058799F" w:rsidRPr="00DF40D8" w:rsidRDefault="0058799F" w:rsidP="0058799F">
      <w:pPr>
        <w:jc w:val="both"/>
        <w:rPr>
          <w:rFonts w:eastAsia="MS Mincho"/>
          <w:lang w:eastAsia="ja-JP"/>
        </w:rPr>
      </w:pPr>
    </w:p>
    <w:p w:rsidR="0058799F" w:rsidRDefault="0058799F" w:rsidP="00083CDD">
      <w:pPr>
        <w:spacing w:afterLines="50" w:after="120"/>
        <w:jc w:val="both"/>
        <w:rPr>
          <w:b/>
        </w:rPr>
      </w:pPr>
      <w:r>
        <w:rPr>
          <w:b/>
        </w:rPr>
        <w:t>APT Preliminary Views:</w:t>
      </w:r>
    </w:p>
    <w:p w:rsidR="0058799F" w:rsidRPr="0058799F" w:rsidRDefault="0058799F" w:rsidP="00355016">
      <w:pPr>
        <w:jc w:val="both"/>
        <w:rPr>
          <w:rFonts w:eastAsia="Times New Roman"/>
          <w:lang w:eastAsia="ja-JP"/>
        </w:rPr>
      </w:pPr>
      <w:r w:rsidRPr="0058799F">
        <w:rPr>
          <w:rFonts w:eastAsia="Times New Roman" w:hint="eastAsia"/>
          <w:lang w:eastAsia="ja-JP"/>
        </w:rPr>
        <w:t xml:space="preserve">Taking into account that some concerns were raised over some regulatory amendments to relevant resolutions of the ITU-R including Resolution </w:t>
      </w:r>
      <w:r w:rsidRPr="0058799F">
        <w:rPr>
          <w:rFonts w:eastAsia="Times New Roman"/>
          <w:b/>
          <w:lang w:eastAsia="ja-JP"/>
        </w:rPr>
        <w:t>11 (WRC-12)</w:t>
      </w:r>
      <w:r w:rsidRPr="0058799F">
        <w:rPr>
          <w:rFonts w:eastAsia="Times New Roman" w:hint="eastAsia"/>
          <w:lang w:eastAsia="ja-JP"/>
        </w:rPr>
        <w:t xml:space="preserve"> and Resolution </w:t>
      </w:r>
      <w:r w:rsidRPr="0058799F">
        <w:rPr>
          <w:rFonts w:eastAsia="Times New Roman"/>
          <w:b/>
          <w:lang w:eastAsia="ja-JP"/>
        </w:rPr>
        <w:t>15 (WRC-03)</w:t>
      </w:r>
      <w:r w:rsidRPr="0058799F">
        <w:rPr>
          <w:rFonts w:eastAsia="Times New Roman" w:hint="eastAsia"/>
          <w:b/>
          <w:lang w:eastAsia="ja-JP"/>
        </w:rPr>
        <w:t xml:space="preserve">, </w:t>
      </w:r>
      <w:r w:rsidRPr="0058799F">
        <w:rPr>
          <w:rFonts w:eastAsia="Times New Roman" w:hint="eastAsia"/>
          <w:lang w:eastAsia="ja-JP"/>
        </w:rPr>
        <w:t xml:space="preserve">APT Members are of the view that this matter should be further </w:t>
      </w:r>
      <w:r w:rsidRPr="0058799F">
        <w:rPr>
          <w:rFonts w:eastAsia="Times New Roman"/>
          <w:lang w:eastAsia="ja-JP"/>
        </w:rPr>
        <w:t>studied</w:t>
      </w:r>
      <w:r w:rsidRPr="0058799F">
        <w:rPr>
          <w:rFonts w:eastAsia="Times New Roman" w:hint="eastAsia"/>
          <w:lang w:eastAsia="ja-JP"/>
        </w:rPr>
        <w:t xml:space="preserve"> and considered as appropriate to put emphasis on developed countries so that it may be possible for </w:t>
      </w:r>
      <w:r w:rsidRPr="0058799F">
        <w:rPr>
          <w:rFonts w:eastAsia="Times New Roman"/>
          <w:lang w:eastAsia="ja-JP"/>
        </w:rPr>
        <w:t>developing</w:t>
      </w:r>
      <w:r w:rsidRPr="0058799F">
        <w:rPr>
          <w:rFonts w:eastAsia="Times New Roman" w:hint="eastAsia"/>
          <w:lang w:eastAsia="ja-JP"/>
        </w:rPr>
        <w:t xml:space="preserve"> countries to access required services in their geographical local regions, a</w:t>
      </w:r>
      <w:r w:rsidRPr="0058799F">
        <w:rPr>
          <w:rFonts w:eastAsia="Times New Roman"/>
          <w:lang w:eastAsia="ja-JP"/>
        </w:rPr>
        <w:t>n</w:t>
      </w:r>
      <w:r w:rsidRPr="0058799F">
        <w:rPr>
          <w:rFonts w:eastAsia="Times New Roman" w:hint="eastAsia"/>
          <w:lang w:eastAsia="ja-JP"/>
        </w:rPr>
        <w:t xml:space="preserve">d not to deny their requests unreasonably as clearly mentioned by their primary rights in United Nations and ITU Constitutions. </w:t>
      </w:r>
      <w:r w:rsidRPr="0058799F">
        <w:rPr>
          <w:rFonts w:eastAsia="Times New Roman" w:hint="eastAsia"/>
          <w:snapToGrid w:val="0"/>
          <w:lang w:val="en-AU" w:eastAsia="ja-JP"/>
        </w:rPr>
        <w:t>APT Members appreciate</w:t>
      </w:r>
      <w:r w:rsidRPr="00F5581D">
        <w:rPr>
          <w:rFonts w:eastAsia="Times New Roman"/>
          <w:snapToGrid w:val="0"/>
          <w:lang w:val="en-AU" w:eastAsia="ja-JP"/>
        </w:rPr>
        <w:t xml:space="preserve"> that additional efforts be undertaken jointly by the ITU-R and ITU-D to further support capacity building in the area of satellite telecommunications</w:t>
      </w:r>
      <w:r w:rsidRPr="0058799F">
        <w:rPr>
          <w:rFonts w:eastAsia="Times New Roman" w:hint="eastAsia"/>
          <w:snapToGrid w:val="0"/>
          <w:lang w:val="en-AU" w:eastAsia="ja-JP"/>
        </w:rPr>
        <w:t>, which is recommended by Working Party 4A</w:t>
      </w:r>
      <w:r w:rsidRPr="00177A0C">
        <w:rPr>
          <w:rFonts w:eastAsia="Times New Roman"/>
          <w:snapToGrid w:val="0"/>
          <w:lang w:val="en-AU" w:eastAsia="ja-JP"/>
        </w:rPr>
        <w:t xml:space="preserve"> </w:t>
      </w:r>
      <w:r w:rsidRPr="00F5581D">
        <w:rPr>
          <w:rFonts w:eastAsia="Times New Roman"/>
          <w:snapToGrid w:val="0"/>
          <w:lang w:val="en-AU" w:eastAsia="ja-JP"/>
        </w:rPr>
        <w:t xml:space="preserve">in association with Resolution </w:t>
      </w:r>
      <w:r w:rsidRPr="005252E4">
        <w:rPr>
          <w:rFonts w:eastAsia="Times New Roman"/>
          <w:b/>
          <w:snapToGrid w:val="0"/>
          <w:lang w:val="en-AU" w:eastAsia="ja-JP"/>
        </w:rPr>
        <w:t>11 (WRC-12)</w:t>
      </w:r>
      <w:r w:rsidRPr="0058799F">
        <w:rPr>
          <w:rFonts w:eastAsia="Times New Roman" w:hint="eastAsia"/>
          <w:snapToGrid w:val="0"/>
          <w:lang w:val="en-AU" w:eastAsia="ja-JP"/>
        </w:rPr>
        <w:t xml:space="preserve"> </w:t>
      </w:r>
    </w:p>
    <w:p w:rsidR="0058799F" w:rsidRPr="0058799F" w:rsidRDefault="0058799F" w:rsidP="0058799F">
      <w:pPr>
        <w:widowControl w:val="0"/>
        <w:suppressAutoHyphens/>
        <w:adjustRightInd w:val="0"/>
        <w:jc w:val="both"/>
        <w:textAlignment w:val="baseline"/>
        <w:rPr>
          <w:rFonts w:eastAsia="Times New Roman"/>
          <w:snapToGrid w:val="0"/>
          <w:lang w:val="en-AU" w:eastAsia="ja-JP"/>
        </w:rPr>
      </w:pPr>
    </w:p>
    <w:p w:rsidR="0058799F" w:rsidRPr="00CE1B67" w:rsidRDefault="00022EBD" w:rsidP="0058799F">
      <w:pPr>
        <w:jc w:val="both"/>
      </w:pPr>
      <w:r>
        <w:rPr>
          <w:rFonts w:eastAsia="MS Mincho" w:hint="eastAsia"/>
          <w:b/>
          <w:lang w:eastAsia="ja-JP"/>
        </w:rPr>
        <w:t>Issue</w:t>
      </w:r>
      <w:r w:rsidR="0058799F" w:rsidRPr="00CE1B67">
        <w:rPr>
          <w:b/>
        </w:rPr>
        <w:t xml:space="preserve"> </w:t>
      </w:r>
      <w:r w:rsidR="0058799F" w:rsidRPr="00CE1B67">
        <w:rPr>
          <w:rFonts w:eastAsia="MS Mincho" w:hint="eastAsia"/>
          <w:b/>
          <w:lang w:eastAsia="ja-JP"/>
        </w:rPr>
        <w:t>9.1</w:t>
      </w:r>
      <w:r w:rsidR="0058799F" w:rsidRPr="00CE1B67">
        <w:rPr>
          <w:b/>
        </w:rPr>
        <w:t>.</w:t>
      </w:r>
      <w:r w:rsidR="0058799F" w:rsidRPr="00CE1B67">
        <w:rPr>
          <w:rFonts w:eastAsia="MS Mincho" w:hint="eastAsia"/>
          <w:b/>
          <w:lang w:eastAsia="ja-JP"/>
        </w:rPr>
        <w:t>5</w:t>
      </w:r>
      <w:r w:rsidR="0058799F" w:rsidRPr="00CE1B67">
        <w:rPr>
          <w:b/>
        </w:rPr>
        <w:t xml:space="preserve">: </w:t>
      </w:r>
    </w:p>
    <w:p w:rsidR="0058799F" w:rsidRPr="00935AE0" w:rsidRDefault="0058799F" w:rsidP="0058799F">
      <w:pPr>
        <w:jc w:val="both"/>
        <w:rPr>
          <w:rFonts w:eastAsia="MS Mincho"/>
          <w:i/>
          <w:lang w:eastAsia="ja-JP"/>
        </w:rPr>
      </w:pPr>
      <w:r w:rsidRPr="00935AE0">
        <w:rPr>
          <w:rFonts w:eastAsia="MS Mincho"/>
          <w:i/>
          <w:lang w:eastAsia="ja-JP"/>
        </w:rPr>
        <w:t xml:space="preserve">Resolution </w:t>
      </w:r>
      <w:r w:rsidRPr="00935AE0">
        <w:rPr>
          <w:rFonts w:eastAsia="MS Mincho"/>
          <w:b/>
          <w:i/>
          <w:lang w:eastAsia="ja-JP"/>
        </w:rPr>
        <w:t>154 (WRC-12)</w:t>
      </w:r>
      <w:r w:rsidRPr="00935AE0">
        <w:rPr>
          <w:rFonts w:eastAsia="MS Mincho"/>
          <w:i/>
          <w:lang w:eastAsia="ja-JP"/>
        </w:rPr>
        <w:t xml:space="preserve"> - Consideration of technical and regulatory actions in order to support existing and future operation of fixed-satellite service earth stations within the band 3 400-4 200 MHz, as an aid to the safe operation of aircraft and reliable distribution of meteorological information in some countries in Region 1(WP 4A (technical and regulatory aspects), SC (regulatory and procedural aspects)).</w:t>
      </w:r>
    </w:p>
    <w:p w:rsidR="0058799F" w:rsidRPr="00DF40D8" w:rsidRDefault="0058799F" w:rsidP="0058799F">
      <w:pPr>
        <w:jc w:val="both"/>
        <w:rPr>
          <w:rFonts w:eastAsia="MS Mincho"/>
          <w:lang w:eastAsia="ja-JP"/>
        </w:rPr>
      </w:pPr>
    </w:p>
    <w:p w:rsidR="0058799F" w:rsidRDefault="0058799F" w:rsidP="00F03FE7">
      <w:pPr>
        <w:spacing w:afterLines="50" w:after="120"/>
        <w:jc w:val="both"/>
        <w:rPr>
          <w:b/>
        </w:rPr>
      </w:pPr>
      <w:r>
        <w:rPr>
          <w:b/>
        </w:rPr>
        <w:t>APT Preliminary Views:</w:t>
      </w:r>
    </w:p>
    <w:p w:rsidR="0058799F" w:rsidRPr="0058799F" w:rsidRDefault="0058799F" w:rsidP="00544CD2">
      <w:pPr>
        <w:jc w:val="both"/>
        <w:rPr>
          <w:rFonts w:eastAsia="Times New Roman"/>
          <w:snapToGrid w:val="0"/>
          <w:lang w:val="en-AU" w:eastAsia="ja-JP"/>
        </w:rPr>
      </w:pPr>
      <w:r w:rsidRPr="00925C38">
        <w:rPr>
          <w:rFonts w:eastAsia="Times New Roman"/>
          <w:snapToGrid w:val="0"/>
          <w:lang w:val="en-AU" w:eastAsia="ja-JP"/>
        </w:rPr>
        <w:t xml:space="preserve">APT Members </w:t>
      </w:r>
      <w:r w:rsidRPr="0058799F">
        <w:rPr>
          <w:rFonts w:eastAsia="Times New Roman" w:hint="eastAsia"/>
          <w:snapToGrid w:val="0"/>
          <w:lang w:val="en-AU" w:eastAsia="ja-JP"/>
        </w:rPr>
        <w:t xml:space="preserve">are encouraged to </w:t>
      </w:r>
      <w:r w:rsidRPr="00925C38">
        <w:rPr>
          <w:rFonts w:eastAsia="Times New Roman"/>
          <w:snapToGrid w:val="0"/>
          <w:lang w:val="en-AU" w:eastAsia="ja-JP"/>
        </w:rPr>
        <w:t>monitor ITU-R studies noting</w:t>
      </w:r>
      <w:r w:rsidRPr="0058799F">
        <w:rPr>
          <w:rFonts w:eastAsia="Times New Roman" w:hint="eastAsia"/>
          <w:snapToGrid w:val="0"/>
          <w:lang w:val="en-AU" w:eastAsia="ja-JP"/>
        </w:rPr>
        <w:t xml:space="preserve"> that</w:t>
      </w:r>
      <w:r w:rsidRPr="00925C38">
        <w:rPr>
          <w:rFonts w:eastAsia="Times New Roman"/>
          <w:snapToGrid w:val="0"/>
          <w:lang w:val="en-AU" w:eastAsia="ja-JP"/>
        </w:rPr>
        <w:t xml:space="preserve"> this is a Region 1 issue</w:t>
      </w:r>
      <w:r w:rsidRPr="0058799F">
        <w:rPr>
          <w:rFonts w:eastAsia="Times New Roman" w:hint="eastAsia"/>
          <w:snapToGrid w:val="0"/>
          <w:lang w:val="en-AU" w:eastAsia="ja-JP"/>
        </w:rPr>
        <w:t xml:space="preserve">.  APT Members do not </w:t>
      </w:r>
      <w:r w:rsidRPr="00925C38">
        <w:rPr>
          <w:rFonts w:eastAsia="Times New Roman"/>
          <w:snapToGrid w:val="0"/>
          <w:lang w:val="en-AU" w:eastAsia="ja-JP"/>
        </w:rPr>
        <w:t xml:space="preserve">support any aspects of this Agenda item being applied to Region 3. </w:t>
      </w:r>
    </w:p>
    <w:p w:rsidR="0058799F" w:rsidRPr="0058799F" w:rsidRDefault="0058799F" w:rsidP="0058799F">
      <w:pPr>
        <w:jc w:val="both"/>
        <w:rPr>
          <w:rFonts w:eastAsia="Times New Roman"/>
          <w:b/>
          <w:lang w:val="en-AU" w:eastAsia="ja-JP"/>
        </w:rPr>
      </w:pPr>
    </w:p>
    <w:p w:rsidR="0058799F" w:rsidRPr="00F03FE7" w:rsidRDefault="0058799F" w:rsidP="0058799F">
      <w:pPr>
        <w:jc w:val="both"/>
        <w:rPr>
          <w:rFonts w:eastAsia="MS Mincho"/>
          <w:b/>
          <w:lang w:eastAsia="ja-JP"/>
        </w:rPr>
      </w:pPr>
    </w:p>
    <w:p w:rsidR="0058799F" w:rsidRDefault="00022EBD" w:rsidP="0058799F">
      <w:pPr>
        <w:jc w:val="both"/>
      </w:pPr>
      <w:r>
        <w:rPr>
          <w:rFonts w:eastAsia="MS Mincho" w:hint="eastAsia"/>
          <w:b/>
          <w:lang w:eastAsia="ja-JP"/>
        </w:rPr>
        <w:t>Issue</w:t>
      </w:r>
      <w:r w:rsidR="0058799F">
        <w:rPr>
          <w:b/>
        </w:rPr>
        <w:t xml:space="preserve"> </w:t>
      </w:r>
      <w:r w:rsidR="0058799F">
        <w:rPr>
          <w:rFonts w:eastAsia="MS Mincho" w:hint="eastAsia"/>
          <w:b/>
          <w:lang w:eastAsia="ja-JP"/>
        </w:rPr>
        <w:t>9.1</w:t>
      </w:r>
      <w:r w:rsidR="0058799F">
        <w:rPr>
          <w:b/>
        </w:rPr>
        <w:t>.</w:t>
      </w:r>
      <w:r w:rsidR="0058799F">
        <w:rPr>
          <w:rFonts w:eastAsia="MS Mincho" w:hint="eastAsia"/>
          <w:b/>
          <w:lang w:eastAsia="ja-JP"/>
        </w:rPr>
        <w:t>8</w:t>
      </w:r>
      <w:r w:rsidR="0058799F">
        <w:rPr>
          <w:b/>
        </w:rPr>
        <w:t xml:space="preserve">: </w:t>
      </w:r>
    </w:p>
    <w:p w:rsidR="0058799F" w:rsidRDefault="0058799F" w:rsidP="0058799F">
      <w:pPr>
        <w:jc w:val="both"/>
        <w:rPr>
          <w:rFonts w:eastAsia="MS Mincho"/>
          <w:i/>
          <w:lang w:val="en-AU" w:eastAsia="ja-JP"/>
        </w:rPr>
      </w:pPr>
      <w:r w:rsidRPr="00186F6A">
        <w:rPr>
          <w:i/>
          <w:lang w:val="en-AU"/>
        </w:rPr>
        <w:t xml:space="preserve">Resolution </w:t>
      </w:r>
      <w:r w:rsidRPr="00186F6A">
        <w:rPr>
          <w:b/>
          <w:i/>
          <w:lang w:val="en-AU"/>
        </w:rPr>
        <w:t>757 (WRC</w:t>
      </w:r>
      <w:r w:rsidRPr="00186F6A">
        <w:rPr>
          <w:b/>
          <w:i/>
          <w:lang w:val="en-AU"/>
        </w:rPr>
        <w:noBreakHyphen/>
        <w:t>12)</w:t>
      </w:r>
      <w:r w:rsidRPr="0058799F">
        <w:rPr>
          <w:rFonts w:eastAsia="Times New Roman" w:hint="eastAsia"/>
          <w:lang w:val="en-AU" w:eastAsia="ja-JP"/>
        </w:rPr>
        <w:t xml:space="preserve"> -</w:t>
      </w:r>
      <w:r w:rsidRPr="00186F6A">
        <w:rPr>
          <w:i/>
          <w:lang w:val="en-AU"/>
        </w:rPr>
        <w:t xml:space="preserve"> Regulatory aspects for </w:t>
      </w:r>
      <w:proofErr w:type="spellStart"/>
      <w:r w:rsidRPr="00186F6A">
        <w:rPr>
          <w:i/>
          <w:lang w:val="en-AU"/>
        </w:rPr>
        <w:t>nano</w:t>
      </w:r>
      <w:proofErr w:type="spellEnd"/>
      <w:r>
        <w:rPr>
          <w:i/>
          <w:lang w:val="en-AU"/>
        </w:rPr>
        <w:t>-</w:t>
      </w:r>
      <w:r w:rsidRPr="00186F6A">
        <w:rPr>
          <w:i/>
          <w:lang w:val="en-AU"/>
        </w:rPr>
        <w:t xml:space="preserve"> and </w:t>
      </w:r>
      <w:proofErr w:type="spellStart"/>
      <w:r w:rsidRPr="00186F6A">
        <w:rPr>
          <w:i/>
          <w:lang w:val="en-AU"/>
        </w:rPr>
        <w:t>picosatellites</w:t>
      </w:r>
      <w:proofErr w:type="spellEnd"/>
    </w:p>
    <w:p w:rsidR="0058799F" w:rsidRPr="00F6359C" w:rsidRDefault="0058799F" w:rsidP="0058799F">
      <w:pPr>
        <w:jc w:val="both"/>
        <w:rPr>
          <w:rFonts w:eastAsia="MS Mincho"/>
          <w:lang w:eastAsia="ja-JP"/>
        </w:rPr>
      </w:pPr>
    </w:p>
    <w:p w:rsidR="0058799F" w:rsidRDefault="0058799F" w:rsidP="0058799F">
      <w:pPr>
        <w:jc w:val="both"/>
        <w:rPr>
          <w:b/>
        </w:rPr>
      </w:pPr>
      <w:r>
        <w:rPr>
          <w:b/>
        </w:rPr>
        <w:t>APT Preliminary Views:</w:t>
      </w:r>
    </w:p>
    <w:p w:rsidR="0058799F" w:rsidRPr="0058799F" w:rsidRDefault="0058799F" w:rsidP="00544CD2">
      <w:pPr>
        <w:spacing w:beforeLines="50" w:before="120" w:afterLines="100" w:after="240"/>
        <w:jc w:val="both"/>
        <w:rPr>
          <w:rFonts w:eastAsia="Times New Roman"/>
          <w:lang w:eastAsia="ja-JP"/>
        </w:rPr>
      </w:pPr>
      <w:r w:rsidRPr="0058799F">
        <w:rPr>
          <w:rFonts w:eastAsia="Times New Roman" w:hint="eastAsia"/>
          <w:lang w:eastAsia="ja-JP"/>
        </w:rPr>
        <w:t xml:space="preserve">APT </w:t>
      </w:r>
      <w:r w:rsidRPr="0058799F">
        <w:rPr>
          <w:rFonts w:eastAsia="Times New Roman"/>
          <w:lang w:eastAsia="ja-JP"/>
        </w:rPr>
        <w:t>M</w:t>
      </w:r>
      <w:r w:rsidRPr="0058799F">
        <w:rPr>
          <w:rFonts w:eastAsia="Times New Roman" w:hint="eastAsia"/>
          <w:lang w:eastAsia="ja-JP"/>
        </w:rPr>
        <w:t xml:space="preserve">embers support the study to examine the necessary procedures for notifying </w:t>
      </w:r>
      <w:proofErr w:type="spellStart"/>
      <w:r w:rsidRPr="0058799F">
        <w:rPr>
          <w:rFonts w:eastAsia="Times New Roman" w:hint="eastAsia"/>
          <w:lang w:eastAsia="ja-JP"/>
        </w:rPr>
        <w:t>nano</w:t>
      </w:r>
      <w:proofErr w:type="spellEnd"/>
      <w:r w:rsidRPr="0058799F">
        <w:rPr>
          <w:rFonts w:eastAsia="Times New Roman" w:hint="eastAsia"/>
          <w:lang w:eastAsia="ja-JP"/>
        </w:rPr>
        <w:t xml:space="preserve">- and </w:t>
      </w:r>
      <w:proofErr w:type="spellStart"/>
      <w:r w:rsidRPr="0058799F">
        <w:rPr>
          <w:rFonts w:eastAsia="Times New Roman" w:hint="eastAsia"/>
          <w:lang w:eastAsia="ja-JP"/>
        </w:rPr>
        <w:t>picosatellites</w:t>
      </w:r>
      <w:proofErr w:type="spellEnd"/>
      <w:r w:rsidRPr="0058799F">
        <w:rPr>
          <w:rFonts w:eastAsia="Times New Roman" w:hint="eastAsia"/>
          <w:lang w:eastAsia="ja-JP"/>
        </w:rPr>
        <w:t xml:space="preserve"> taking into account their unique characteristics while ensuring the protection of existing allocated services and </w:t>
      </w:r>
      <w:r>
        <w:rPr>
          <w:rFonts w:eastAsia="MS Mincho"/>
          <w:lang w:eastAsia="ja-JP"/>
        </w:rPr>
        <w:t>ex</w:t>
      </w:r>
      <w:r>
        <w:rPr>
          <w:rFonts w:eastAsia="MS Mincho" w:hint="eastAsia"/>
          <w:lang w:eastAsia="ja-JP"/>
        </w:rPr>
        <w:t>i</w:t>
      </w:r>
      <w:r>
        <w:rPr>
          <w:rFonts w:eastAsia="MS Mincho"/>
          <w:lang w:eastAsia="ja-JP"/>
        </w:rPr>
        <w:t>st</w:t>
      </w:r>
      <w:r>
        <w:rPr>
          <w:rFonts w:eastAsia="MS Mincho" w:hint="eastAsia"/>
          <w:lang w:eastAsia="ja-JP"/>
        </w:rPr>
        <w:t>ing and future radio stations operated in accordance with the RR</w:t>
      </w:r>
      <w:r w:rsidRPr="0058799F">
        <w:rPr>
          <w:rFonts w:eastAsia="Times New Roman" w:hint="eastAsia"/>
          <w:lang w:eastAsia="ja-JP"/>
        </w:rPr>
        <w:t xml:space="preserve"> and avoiding </w:t>
      </w:r>
      <w:r w:rsidRPr="005E04E1">
        <w:rPr>
          <w:rFonts w:eastAsia="MS Mincho"/>
          <w:lang w:eastAsia="ja-JP"/>
        </w:rPr>
        <w:t>inconsistencies with other provisions of the RR</w:t>
      </w:r>
      <w:r w:rsidRPr="0058799F">
        <w:rPr>
          <w:rFonts w:eastAsia="Times New Roman" w:hint="eastAsia"/>
          <w:lang w:eastAsia="ja-JP"/>
        </w:rPr>
        <w:t>.</w:t>
      </w:r>
      <w:r w:rsidRPr="003055E9">
        <w:t xml:space="preserve"> </w:t>
      </w:r>
    </w:p>
    <w:p w:rsidR="00BA72FF" w:rsidRDefault="00BA72FF" w:rsidP="00C357AD">
      <w:pPr>
        <w:jc w:val="both"/>
      </w:pPr>
    </w:p>
    <w:p w:rsidR="00BA72FF" w:rsidRDefault="00BA72FF" w:rsidP="009A4A6D">
      <w:pPr>
        <w:jc w:val="center"/>
      </w:pPr>
      <w:r>
        <w:t>__________</w:t>
      </w:r>
    </w:p>
    <w:p w:rsidR="00BA72FF" w:rsidRDefault="00BA72FF" w:rsidP="009A4A6D">
      <w:pPr>
        <w:jc w:val="center"/>
      </w:pPr>
    </w:p>
    <w:p w:rsidR="00BA72FF" w:rsidRPr="009A4A6D" w:rsidRDefault="00BA72FF" w:rsidP="009A4A6D">
      <w:pPr>
        <w:jc w:val="center"/>
        <w:rPr>
          <w:snapToGrid w:val="0"/>
        </w:rPr>
      </w:pPr>
    </w:p>
    <w:sectPr w:rsidR="00BA72FF" w:rsidRPr="009A4A6D" w:rsidSect="00DB0A68">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69E" w:rsidRDefault="00F8169E">
      <w:r>
        <w:separator/>
      </w:r>
    </w:p>
  </w:endnote>
  <w:endnote w:type="continuationSeparator" w:id="0">
    <w:p w:rsidR="00F8169E" w:rsidRDefault="00F8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544CD2">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544CD2">
      <w:rPr>
        <w:rStyle w:val="PageNumber"/>
        <w:noProof/>
      </w:rPr>
      <w:t>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3222"/>
      <w:gridCol w:w="5084"/>
    </w:tblGrid>
    <w:tr w:rsidR="0097693B" w:rsidTr="00087678">
      <w:trPr>
        <w:cantSplit/>
        <w:trHeight w:val="690"/>
        <w:jc w:val="center"/>
      </w:trPr>
      <w:tc>
        <w:tcPr>
          <w:tcW w:w="1617" w:type="dxa"/>
          <w:tcBorders>
            <w:top w:val="single" w:sz="12" w:space="0" w:color="auto"/>
          </w:tcBorders>
        </w:tcPr>
        <w:p w:rsidR="0097693B" w:rsidRPr="007B00DD" w:rsidRDefault="0097693B" w:rsidP="00762576">
          <w:pPr>
            <w:rPr>
              <w:b/>
              <w:bCs/>
            </w:rPr>
          </w:pPr>
          <w:r w:rsidRPr="007B00DD">
            <w:rPr>
              <w:b/>
              <w:bCs/>
            </w:rPr>
            <w:t>Contact:</w:t>
          </w:r>
        </w:p>
      </w:tc>
      <w:tc>
        <w:tcPr>
          <w:tcW w:w="3222" w:type="dxa"/>
          <w:tcBorders>
            <w:top w:val="single" w:sz="12" w:space="0" w:color="auto"/>
          </w:tcBorders>
        </w:tcPr>
        <w:p w:rsidR="0097693B" w:rsidRPr="00087678" w:rsidRDefault="00087678" w:rsidP="00762576">
          <w:pPr>
            <w:pStyle w:val="Equation"/>
            <w:tabs>
              <w:tab w:val="clear" w:pos="4820"/>
              <w:tab w:val="clear" w:pos="9639"/>
              <w:tab w:val="left" w:pos="1191"/>
              <w:tab w:val="left" w:pos="1588"/>
              <w:tab w:val="left" w:pos="1985"/>
            </w:tabs>
            <w:spacing w:beforeLines="0" w:before="0"/>
            <w:rPr>
              <w:szCs w:val="24"/>
              <w:lang w:eastAsia="ja-JP"/>
            </w:rPr>
          </w:pPr>
          <w:r>
            <w:rPr>
              <w:rFonts w:hint="eastAsia"/>
              <w:szCs w:val="24"/>
              <w:lang w:eastAsia="ja-JP"/>
            </w:rPr>
            <w:t>Muneo Abe</w:t>
          </w:r>
        </w:p>
        <w:p w:rsidR="00D13B41" w:rsidRPr="00087678" w:rsidRDefault="00087678" w:rsidP="00D13B41">
          <w:pPr>
            <w:pStyle w:val="Equation"/>
            <w:tabs>
              <w:tab w:val="clear" w:pos="4820"/>
              <w:tab w:val="clear" w:pos="9639"/>
              <w:tab w:val="left" w:pos="1191"/>
              <w:tab w:val="left" w:pos="1588"/>
              <w:tab w:val="left" w:pos="1985"/>
            </w:tabs>
            <w:spacing w:beforeLines="0" w:before="0"/>
            <w:rPr>
              <w:lang w:eastAsia="ja-JP"/>
            </w:rPr>
          </w:pPr>
          <w:r>
            <w:rPr>
              <w:rFonts w:eastAsia="Batang"/>
            </w:rPr>
            <w:t>Chairman, APG WP</w:t>
          </w:r>
          <w:r>
            <w:rPr>
              <w:rFonts w:hint="eastAsia"/>
              <w:lang w:eastAsia="ja-JP"/>
            </w:rPr>
            <w:t>5</w:t>
          </w:r>
        </w:p>
      </w:tc>
      <w:tc>
        <w:tcPr>
          <w:tcW w:w="5084" w:type="dxa"/>
          <w:tcBorders>
            <w:top w:val="single" w:sz="12" w:space="0" w:color="auto"/>
          </w:tcBorders>
        </w:tcPr>
        <w:p w:rsidR="0097693B" w:rsidRPr="00087678" w:rsidRDefault="0097693B" w:rsidP="00762576">
          <w:pPr>
            <w:rPr>
              <w:rFonts w:eastAsia="MS Mincho"/>
              <w:b/>
              <w:lang w:eastAsia="ja-JP"/>
            </w:rPr>
          </w:pPr>
          <w:r w:rsidRPr="007B00DD">
            <w:rPr>
              <w:b/>
            </w:rPr>
            <w:t>Email</w:t>
          </w:r>
          <w:r w:rsidRPr="007B00DD">
            <w:rPr>
              <w:rFonts w:hint="eastAsia"/>
              <w:b/>
            </w:rPr>
            <w:t xml:space="preserve">: </w:t>
          </w:r>
          <w:r w:rsidR="00087678">
            <w:rPr>
              <w:rFonts w:eastAsia="MS Mincho" w:hint="eastAsia"/>
              <w:b/>
              <w:lang w:eastAsia="ja-JP"/>
            </w:rPr>
            <w:t>Abe.Muneo@cj.MitsubishiElectric.co.jp</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69E" w:rsidRDefault="00F8169E">
      <w:r>
        <w:separator/>
      </w:r>
    </w:p>
  </w:footnote>
  <w:footnote w:type="continuationSeparator" w:id="0">
    <w:p w:rsidR="00F8169E" w:rsidRDefault="00F81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Pr="00315B55" w:rsidRDefault="0097693B" w:rsidP="00C15633">
    <w:pPr>
      <w:pStyle w:val="Header"/>
      <w:tabs>
        <w:tab w:val="center" w:pos="4763"/>
        <w:tab w:val="left" w:pos="5820"/>
      </w:tabs>
      <w:rPr>
        <w:rFonts w:eastAsia="MS Mincho"/>
        <w:lang w:eastAsia="ja-JP"/>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2370614"/>
    <w:multiLevelType w:val="hybridMultilevel"/>
    <w:tmpl w:val="BBBA6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7DD0074"/>
    <w:multiLevelType w:val="hybridMultilevel"/>
    <w:tmpl w:val="0ED20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97384B"/>
    <w:multiLevelType w:val="hybridMultilevel"/>
    <w:tmpl w:val="01A0CB86"/>
    <w:lvl w:ilvl="0" w:tplc="08085A50">
      <w:start w:val="1"/>
      <w:numFmt w:val="decimal"/>
      <w:lvlText w:val="%1)"/>
      <w:lvlJc w:val="left"/>
      <w:pPr>
        <w:ind w:left="643" w:hanging="360"/>
      </w:pPr>
      <w:rPr>
        <w:rFonts w:eastAsia="MS Mincho" w:hint="default"/>
        <w:b/>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3FC94847"/>
    <w:multiLevelType w:val="hybridMultilevel"/>
    <w:tmpl w:val="54A6F026"/>
    <w:lvl w:ilvl="0" w:tplc="1114A26A">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06A5D80"/>
    <w:multiLevelType w:val="hybridMultilevel"/>
    <w:tmpl w:val="16BC8F38"/>
    <w:lvl w:ilvl="0" w:tplc="040EE42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028F3"/>
    <w:multiLevelType w:val="hybridMultilevel"/>
    <w:tmpl w:val="D0D87074"/>
    <w:lvl w:ilvl="0" w:tplc="9FF053D4">
      <w:start w:val="1"/>
      <w:numFmt w:val="decimal"/>
      <w:lvlText w:val="%1)"/>
      <w:lvlJc w:val="left"/>
      <w:pPr>
        <w:ind w:left="786" w:hanging="360"/>
      </w:pPr>
      <w:rPr>
        <w:rFonts w:ascii="Times New Roman" w:eastAsia="BatangChe" w:hAnsi="Times New Roman" w:cs="Times New Roman"/>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3">
    <w:nsid w:val="62DD147D"/>
    <w:multiLevelType w:val="hybridMultilevel"/>
    <w:tmpl w:val="1C74FA2C"/>
    <w:lvl w:ilvl="0" w:tplc="28DAB5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nsid w:val="7C371A3A"/>
    <w:multiLevelType w:val="hybridMultilevel"/>
    <w:tmpl w:val="8E560D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3"/>
  </w:num>
  <w:num w:numId="4">
    <w:abstractNumId w:val="14"/>
  </w:num>
  <w:num w:numId="5">
    <w:abstractNumId w:val="7"/>
  </w:num>
  <w:num w:numId="6">
    <w:abstractNumId w:val="9"/>
  </w:num>
  <w:num w:numId="7">
    <w:abstractNumId w:val="2"/>
  </w:num>
  <w:num w:numId="8">
    <w:abstractNumId w:val="0"/>
  </w:num>
  <w:num w:numId="9">
    <w:abstractNumId w:val="5"/>
  </w:num>
  <w:num w:numId="10">
    <w:abstractNumId w:val="12"/>
  </w:num>
  <w:num w:numId="11">
    <w:abstractNumId w:val="15"/>
  </w:num>
  <w:num w:numId="12">
    <w:abstractNumId w:val="1"/>
  </w:num>
  <w:num w:numId="13">
    <w:abstractNumId w:val="11"/>
  </w:num>
  <w:num w:numId="14">
    <w:abstractNumId w:val="1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128A9"/>
    <w:rsid w:val="00017D59"/>
    <w:rsid w:val="00022EBD"/>
    <w:rsid w:val="0003595B"/>
    <w:rsid w:val="00044A11"/>
    <w:rsid w:val="000713CF"/>
    <w:rsid w:val="000756AE"/>
    <w:rsid w:val="00083CDD"/>
    <w:rsid w:val="00087678"/>
    <w:rsid w:val="000A5418"/>
    <w:rsid w:val="000E7D5E"/>
    <w:rsid w:val="000F517C"/>
    <w:rsid w:val="000F5540"/>
    <w:rsid w:val="00135AA7"/>
    <w:rsid w:val="001539DD"/>
    <w:rsid w:val="00196568"/>
    <w:rsid w:val="001A2CF1"/>
    <w:rsid w:val="001A2F16"/>
    <w:rsid w:val="001B18C2"/>
    <w:rsid w:val="001D5D7E"/>
    <w:rsid w:val="00254A1B"/>
    <w:rsid w:val="0028454D"/>
    <w:rsid w:val="00291C9E"/>
    <w:rsid w:val="002926D4"/>
    <w:rsid w:val="00295D9B"/>
    <w:rsid w:val="002A14B9"/>
    <w:rsid w:val="002A6029"/>
    <w:rsid w:val="002C07DA"/>
    <w:rsid w:val="002C7EA9"/>
    <w:rsid w:val="00315B55"/>
    <w:rsid w:val="003209E0"/>
    <w:rsid w:val="00342F20"/>
    <w:rsid w:val="00355016"/>
    <w:rsid w:val="003809C7"/>
    <w:rsid w:val="003935AC"/>
    <w:rsid w:val="003B6263"/>
    <w:rsid w:val="003C2046"/>
    <w:rsid w:val="003C64A7"/>
    <w:rsid w:val="003D3FDA"/>
    <w:rsid w:val="00420822"/>
    <w:rsid w:val="0045458F"/>
    <w:rsid w:val="004633B4"/>
    <w:rsid w:val="00473941"/>
    <w:rsid w:val="004B3553"/>
    <w:rsid w:val="004E4F09"/>
    <w:rsid w:val="004F2D94"/>
    <w:rsid w:val="005110AA"/>
    <w:rsid w:val="00530E8C"/>
    <w:rsid w:val="00532D8B"/>
    <w:rsid w:val="00544CD2"/>
    <w:rsid w:val="00545933"/>
    <w:rsid w:val="00557544"/>
    <w:rsid w:val="00572E9C"/>
    <w:rsid w:val="00587875"/>
    <w:rsid w:val="0058799F"/>
    <w:rsid w:val="005D23EF"/>
    <w:rsid w:val="005F45F9"/>
    <w:rsid w:val="00607E2B"/>
    <w:rsid w:val="00623CE1"/>
    <w:rsid w:val="0063062B"/>
    <w:rsid w:val="00667229"/>
    <w:rsid w:val="00682BE5"/>
    <w:rsid w:val="00682DFF"/>
    <w:rsid w:val="00690FED"/>
    <w:rsid w:val="006939A5"/>
    <w:rsid w:val="006A02CF"/>
    <w:rsid w:val="006A4000"/>
    <w:rsid w:val="006A7A78"/>
    <w:rsid w:val="00712451"/>
    <w:rsid w:val="00732F08"/>
    <w:rsid w:val="0074190C"/>
    <w:rsid w:val="00762576"/>
    <w:rsid w:val="00791060"/>
    <w:rsid w:val="007A4069"/>
    <w:rsid w:val="007A507E"/>
    <w:rsid w:val="007B00DD"/>
    <w:rsid w:val="007B5626"/>
    <w:rsid w:val="0080570B"/>
    <w:rsid w:val="008148E1"/>
    <w:rsid w:val="008319BF"/>
    <w:rsid w:val="008D0E09"/>
    <w:rsid w:val="00962B4E"/>
    <w:rsid w:val="0097693B"/>
    <w:rsid w:val="00993355"/>
    <w:rsid w:val="009A4A6D"/>
    <w:rsid w:val="009D186F"/>
    <w:rsid w:val="00A13265"/>
    <w:rsid w:val="00A2316E"/>
    <w:rsid w:val="00A643D6"/>
    <w:rsid w:val="00A71136"/>
    <w:rsid w:val="00AA474C"/>
    <w:rsid w:val="00AB4C6A"/>
    <w:rsid w:val="00AD7E5F"/>
    <w:rsid w:val="00B01AA1"/>
    <w:rsid w:val="00B24A3A"/>
    <w:rsid w:val="00B30C81"/>
    <w:rsid w:val="00B4793B"/>
    <w:rsid w:val="00BA72FF"/>
    <w:rsid w:val="00BE623F"/>
    <w:rsid w:val="00BF6E97"/>
    <w:rsid w:val="00C15633"/>
    <w:rsid w:val="00C15799"/>
    <w:rsid w:val="00C357AD"/>
    <w:rsid w:val="00C6069C"/>
    <w:rsid w:val="00C957EE"/>
    <w:rsid w:val="00CD5431"/>
    <w:rsid w:val="00CF2491"/>
    <w:rsid w:val="00D1252E"/>
    <w:rsid w:val="00D13B41"/>
    <w:rsid w:val="00D36655"/>
    <w:rsid w:val="00D57772"/>
    <w:rsid w:val="00D75A4D"/>
    <w:rsid w:val="00D8478B"/>
    <w:rsid w:val="00D86151"/>
    <w:rsid w:val="00DA13F6"/>
    <w:rsid w:val="00DA7595"/>
    <w:rsid w:val="00DB0A68"/>
    <w:rsid w:val="00DC43A3"/>
    <w:rsid w:val="00DD7C09"/>
    <w:rsid w:val="00E0124F"/>
    <w:rsid w:val="00E32D38"/>
    <w:rsid w:val="00E674D3"/>
    <w:rsid w:val="00E70FD0"/>
    <w:rsid w:val="00E90E08"/>
    <w:rsid w:val="00E958A8"/>
    <w:rsid w:val="00EA22A4"/>
    <w:rsid w:val="00F03FE7"/>
    <w:rsid w:val="00F10A36"/>
    <w:rsid w:val="00F3466C"/>
    <w:rsid w:val="00F51B27"/>
    <w:rsid w:val="00F650DD"/>
    <w:rsid w:val="00F8169E"/>
    <w:rsid w:val="00F8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Indent">
    <w:name w:val="Indent"/>
    <w:basedOn w:val="Normal"/>
    <w:link w:val="IndentChar"/>
    <w:qFormat/>
    <w:rsid w:val="0058799F"/>
    <w:pPr>
      <w:spacing w:afterLines="50" w:line="0" w:lineRule="atLeast"/>
      <w:ind w:leftChars="118" w:left="283"/>
    </w:pPr>
  </w:style>
  <w:style w:type="character" w:customStyle="1" w:styleId="IndentChar">
    <w:name w:val="Indent Char"/>
    <w:link w:val="Indent"/>
    <w:rsid w:val="0058799F"/>
    <w:rPr>
      <w:rFonts w:eastAsia="BatangChe"/>
      <w:sz w:val="24"/>
      <w:szCs w:val="24"/>
      <w:lang w:val="en-US" w:eastAsia="en-US"/>
    </w:rPr>
  </w:style>
  <w:style w:type="character" w:styleId="Strong">
    <w:name w:val="Strong"/>
    <w:uiPriority w:val="99"/>
    <w:qFormat/>
    <w:rsid w:val="0058799F"/>
    <w:rPr>
      <w:rFonts w:cs="Times New Roman"/>
      <w:b/>
    </w:rPr>
  </w:style>
  <w:style w:type="paragraph" w:styleId="ListParagraph">
    <w:name w:val="List Paragraph"/>
    <w:basedOn w:val="Normal"/>
    <w:link w:val="ListParagraphChar"/>
    <w:uiPriority w:val="99"/>
    <w:qFormat/>
    <w:rsid w:val="00E32D38"/>
    <w:pPr>
      <w:ind w:left="720"/>
      <w:contextualSpacing/>
    </w:pPr>
  </w:style>
  <w:style w:type="character" w:customStyle="1" w:styleId="ListParagraphChar">
    <w:name w:val="List Paragraph Char"/>
    <w:link w:val="ListParagraph"/>
    <w:uiPriority w:val="99"/>
    <w:locked/>
    <w:rsid w:val="00E32D38"/>
    <w:rPr>
      <w:rFonts w:eastAsia="BatangChe"/>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Indent">
    <w:name w:val="Indent"/>
    <w:basedOn w:val="Normal"/>
    <w:link w:val="IndentChar"/>
    <w:qFormat/>
    <w:rsid w:val="0058799F"/>
    <w:pPr>
      <w:spacing w:afterLines="50" w:line="0" w:lineRule="atLeast"/>
      <w:ind w:leftChars="118" w:left="283"/>
    </w:pPr>
  </w:style>
  <w:style w:type="character" w:customStyle="1" w:styleId="IndentChar">
    <w:name w:val="Indent Char"/>
    <w:link w:val="Indent"/>
    <w:rsid w:val="0058799F"/>
    <w:rPr>
      <w:rFonts w:eastAsia="BatangChe"/>
      <w:sz w:val="24"/>
      <w:szCs w:val="24"/>
      <w:lang w:val="en-US" w:eastAsia="en-US"/>
    </w:rPr>
  </w:style>
  <w:style w:type="character" w:styleId="Strong">
    <w:name w:val="Strong"/>
    <w:uiPriority w:val="99"/>
    <w:qFormat/>
    <w:rsid w:val="0058799F"/>
    <w:rPr>
      <w:rFonts w:cs="Times New Roman"/>
      <w:b/>
    </w:rPr>
  </w:style>
  <w:style w:type="paragraph" w:styleId="ListParagraph">
    <w:name w:val="List Paragraph"/>
    <w:basedOn w:val="Normal"/>
    <w:link w:val="ListParagraphChar"/>
    <w:uiPriority w:val="99"/>
    <w:qFormat/>
    <w:rsid w:val="00E32D38"/>
    <w:pPr>
      <w:ind w:left="720"/>
      <w:contextualSpacing/>
    </w:pPr>
  </w:style>
  <w:style w:type="character" w:customStyle="1" w:styleId="ListParagraphChar">
    <w:name w:val="List Paragraph Char"/>
    <w:link w:val="ListParagraph"/>
    <w:uiPriority w:val="99"/>
    <w:locked/>
    <w:rsid w:val="00E32D38"/>
    <w:rPr>
      <w:rFonts w:eastAsia="BatangCh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726</Words>
  <Characters>4140</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lpstr>
    </vt:vector>
  </TitlesOfParts>
  <Company>APT</Company>
  <LinksUpToDate>false</LinksUpToDate>
  <CharactersWithSpaces>4857</CharactersWithSpaces>
  <SharedDoc>false</SharedDoc>
  <HLinks>
    <vt:vector size="24" baseType="variant">
      <vt:variant>
        <vt:i4>4128847</vt:i4>
      </vt:variant>
      <vt:variant>
        <vt:i4>9</vt:i4>
      </vt:variant>
      <vt:variant>
        <vt:i4>0</vt:i4>
      </vt:variant>
      <vt:variant>
        <vt:i4>5</vt:i4>
      </vt:variant>
      <vt:variant>
        <vt:lpwstr>https://www.itu.int/md/dologin_md.asp?lang=en&amp;id=R12-WP7B-C-0293!N07!MSW-E</vt:lpwstr>
      </vt:variant>
      <vt:variant>
        <vt:lpwstr/>
      </vt:variant>
      <vt:variant>
        <vt:i4>4063311</vt:i4>
      </vt:variant>
      <vt:variant>
        <vt:i4>6</vt:i4>
      </vt:variant>
      <vt:variant>
        <vt:i4>0</vt:i4>
      </vt:variant>
      <vt:variant>
        <vt:i4>5</vt:i4>
      </vt:variant>
      <vt:variant>
        <vt:lpwstr>https://www.itu.int/md/dologin_md.asp?lang=en&amp;id=R12-WP7B-C-0293!N06!MSW-E</vt:lpwstr>
      </vt:variant>
      <vt:variant>
        <vt:lpwstr/>
      </vt:variant>
      <vt:variant>
        <vt:i4>3997775</vt:i4>
      </vt:variant>
      <vt:variant>
        <vt:i4>3</vt:i4>
      </vt:variant>
      <vt:variant>
        <vt:i4>0</vt:i4>
      </vt:variant>
      <vt:variant>
        <vt:i4>5</vt:i4>
      </vt:variant>
      <vt:variant>
        <vt:lpwstr>https://www.itu.int/md/dologin_md.asp?lang=en&amp;id=R12-WP7B-C-0293!N05!MSW-E</vt:lpwstr>
      </vt:variant>
      <vt:variant>
        <vt:lpwstr/>
      </vt:variant>
      <vt:variant>
        <vt:i4>6684698</vt:i4>
      </vt:variant>
      <vt:variant>
        <vt:i4>0</vt:i4>
      </vt:variant>
      <vt:variant>
        <vt:i4>0</vt:i4>
      </vt:variant>
      <vt:variant>
        <vt:i4>5</vt:i4>
      </vt:variant>
      <vt:variant>
        <vt:lpwstr>https://www.itu.int/md/dologin_md.asp?lang=en&amp;id=R12-WP7B-C-0293!!MSW-E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4</cp:revision>
  <cp:lastPrinted>2004-07-28T02:14:00Z</cp:lastPrinted>
  <dcterms:created xsi:type="dcterms:W3CDTF">2014-11-12T03:51:00Z</dcterms:created>
  <dcterms:modified xsi:type="dcterms:W3CDTF">2014-11-12T04:07:00Z</dcterms:modified>
</cp:coreProperties>
</file>