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61" w:type="dxa"/>
        <w:tblBorders>
          <w:bottom w:val="single" w:sz="4" w:space="0" w:color="auto"/>
        </w:tblBorders>
        <w:tblLayout w:type="fixed"/>
        <w:tblCellMar>
          <w:left w:w="99" w:type="dxa"/>
          <w:right w:w="99" w:type="dxa"/>
        </w:tblCellMar>
        <w:tblLook w:val="0000" w:firstRow="0" w:lastRow="0" w:firstColumn="0" w:lastColumn="0" w:noHBand="0" w:noVBand="0"/>
      </w:tblPr>
      <w:tblGrid>
        <w:gridCol w:w="1530"/>
        <w:gridCol w:w="4660"/>
        <w:gridCol w:w="1550"/>
        <w:gridCol w:w="111"/>
        <w:gridCol w:w="2229"/>
      </w:tblGrid>
      <w:tr w:rsidR="00295D9B" w:rsidRPr="00891D0B" w:rsidTr="006A4000">
        <w:trPr>
          <w:cantSplit/>
        </w:trPr>
        <w:tc>
          <w:tcPr>
            <w:tcW w:w="1530" w:type="dxa"/>
            <w:vMerge w:val="restart"/>
            <w:tcBorders>
              <w:top w:val="nil"/>
              <w:left w:val="nil"/>
              <w:bottom w:val="nil"/>
              <w:right w:val="nil"/>
            </w:tcBorders>
          </w:tcPr>
          <w:p w:rsidR="00295D9B" w:rsidRPr="00891D0B" w:rsidRDefault="00D74D1C" w:rsidP="006A4000">
            <w:pPr>
              <w:pStyle w:val="Note"/>
              <w:widowControl w:val="0"/>
              <w:tabs>
                <w:tab w:val="clear" w:pos="284"/>
                <w:tab w:val="clear" w:pos="1134"/>
                <w:tab w:val="clear" w:pos="1871"/>
                <w:tab w:val="clear" w:pos="2268"/>
              </w:tabs>
              <w:wordWrap w:val="0"/>
              <w:spacing w:before="0"/>
              <w:rPr>
                <w:noProof w:val="0"/>
                <w:kern w:val="2"/>
                <w:sz w:val="24"/>
                <w:szCs w:val="24"/>
              </w:rPr>
            </w:pPr>
            <w:r>
              <w:rPr>
                <w:noProof w:val="0"/>
                <w:kern w:val="2"/>
                <w:sz w:val="24"/>
                <w:szCs w:val="24"/>
              </w:rPr>
              <w:t xml:space="preserve"> </w:t>
            </w:r>
            <w:r w:rsidR="005A2978">
              <w:rPr>
                <w:kern w:val="2"/>
                <w:sz w:val="24"/>
                <w:szCs w:val="24"/>
                <w:lang w:eastAsia="en-US"/>
              </w:rPr>
              <w:drawing>
                <wp:inline distT="0" distB="0" distL="0" distR="0" wp14:anchorId="5F9ECABD" wp14:editId="69D49FCE">
                  <wp:extent cx="762000" cy="666750"/>
                  <wp:effectExtent l="0" t="0" r="0" b="0"/>
                  <wp:docPr id="1" name="Picture 1" descr="small APT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APT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4660" w:type="dxa"/>
            <w:tcBorders>
              <w:top w:val="nil"/>
              <w:left w:val="nil"/>
              <w:bottom w:val="nil"/>
              <w:right w:val="nil"/>
            </w:tcBorders>
          </w:tcPr>
          <w:p w:rsidR="00295D9B" w:rsidRPr="00891D0B" w:rsidRDefault="00295D9B" w:rsidP="006A4000">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295D9B" w:rsidRPr="00891D0B" w:rsidRDefault="00295D9B" w:rsidP="006A4000"/>
        </w:tc>
        <w:tc>
          <w:tcPr>
            <w:tcW w:w="2229" w:type="dxa"/>
            <w:tcBorders>
              <w:top w:val="nil"/>
              <w:left w:val="nil"/>
              <w:bottom w:val="nil"/>
            </w:tcBorders>
          </w:tcPr>
          <w:p w:rsidR="00295D9B" w:rsidRPr="00891D0B" w:rsidRDefault="00295D9B" w:rsidP="006A4000">
            <w:pPr>
              <w:pStyle w:val="Heading8"/>
              <w:rPr>
                <w:sz w:val="24"/>
                <w:szCs w:val="24"/>
              </w:rPr>
            </w:pPr>
          </w:p>
        </w:tc>
      </w:tr>
      <w:tr w:rsidR="00295D9B" w:rsidRPr="00C15799" w:rsidTr="006A4000">
        <w:trPr>
          <w:cantSplit/>
        </w:trPr>
        <w:tc>
          <w:tcPr>
            <w:tcW w:w="1530" w:type="dxa"/>
            <w:vMerge/>
            <w:tcBorders>
              <w:top w:val="nil"/>
              <w:left w:val="nil"/>
              <w:bottom w:val="nil"/>
              <w:right w:val="nil"/>
            </w:tcBorders>
          </w:tcPr>
          <w:p w:rsidR="00295D9B" w:rsidRPr="00891D0B" w:rsidRDefault="00295D9B" w:rsidP="006A4000"/>
        </w:tc>
        <w:tc>
          <w:tcPr>
            <w:tcW w:w="6210" w:type="dxa"/>
            <w:gridSpan w:val="2"/>
            <w:tcBorders>
              <w:top w:val="nil"/>
              <w:left w:val="nil"/>
              <w:bottom w:val="nil"/>
              <w:right w:val="nil"/>
            </w:tcBorders>
          </w:tcPr>
          <w:p w:rsidR="00295D9B" w:rsidRPr="00891D0B" w:rsidRDefault="00295D9B" w:rsidP="00CC555C">
            <w:pPr>
              <w:spacing w:line="0" w:lineRule="atLeast"/>
            </w:pPr>
            <w:r>
              <w:rPr>
                <w:b/>
              </w:rPr>
              <w:t>The APT Conference Prepar</w:t>
            </w:r>
            <w:r w:rsidR="00976F29">
              <w:rPr>
                <w:b/>
              </w:rPr>
              <w:t xml:space="preserve">atory  Group for WRC-15 </w:t>
            </w:r>
          </w:p>
        </w:tc>
        <w:tc>
          <w:tcPr>
            <w:tcW w:w="2340" w:type="dxa"/>
            <w:gridSpan w:val="2"/>
            <w:tcBorders>
              <w:top w:val="nil"/>
              <w:left w:val="nil"/>
              <w:bottom w:val="nil"/>
              <w:right w:val="nil"/>
            </w:tcBorders>
          </w:tcPr>
          <w:p w:rsidR="00295D9B" w:rsidRPr="00C15799" w:rsidRDefault="00295D9B" w:rsidP="006A4000">
            <w:pPr>
              <w:rPr>
                <w:b/>
                <w:bCs/>
                <w:lang w:val="fr-FR"/>
              </w:rPr>
            </w:pPr>
          </w:p>
        </w:tc>
      </w:tr>
      <w:tr w:rsidR="00295D9B" w:rsidRPr="00891D0B" w:rsidTr="006A4000">
        <w:trPr>
          <w:cantSplit/>
          <w:trHeight w:val="219"/>
        </w:trPr>
        <w:tc>
          <w:tcPr>
            <w:tcW w:w="1530" w:type="dxa"/>
            <w:vMerge/>
            <w:tcBorders>
              <w:top w:val="nil"/>
              <w:left w:val="nil"/>
              <w:bottom w:val="single" w:sz="12" w:space="0" w:color="auto"/>
              <w:right w:val="nil"/>
            </w:tcBorders>
          </w:tcPr>
          <w:p w:rsidR="00295D9B" w:rsidRPr="00C15799" w:rsidRDefault="00295D9B" w:rsidP="006A4000">
            <w:pPr>
              <w:rPr>
                <w:lang w:val="fr-FR"/>
              </w:rPr>
            </w:pPr>
          </w:p>
        </w:tc>
        <w:tc>
          <w:tcPr>
            <w:tcW w:w="6210" w:type="dxa"/>
            <w:gridSpan w:val="2"/>
            <w:tcBorders>
              <w:top w:val="nil"/>
              <w:left w:val="nil"/>
              <w:bottom w:val="single" w:sz="12" w:space="0" w:color="auto"/>
              <w:right w:val="nil"/>
            </w:tcBorders>
          </w:tcPr>
          <w:p w:rsidR="00295D9B" w:rsidRPr="00891D0B" w:rsidRDefault="00295D9B" w:rsidP="00976F29"/>
        </w:tc>
        <w:tc>
          <w:tcPr>
            <w:tcW w:w="2340" w:type="dxa"/>
            <w:gridSpan w:val="2"/>
            <w:tcBorders>
              <w:top w:val="nil"/>
              <w:left w:val="nil"/>
              <w:bottom w:val="single" w:sz="12" w:space="0" w:color="auto"/>
              <w:right w:val="nil"/>
            </w:tcBorders>
          </w:tcPr>
          <w:p w:rsidR="00295D9B" w:rsidRPr="00712451" w:rsidRDefault="00295D9B" w:rsidP="00D74D1C">
            <w:pPr>
              <w:rPr>
                <w:b/>
              </w:rPr>
            </w:pPr>
          </w:p>
        </w:tc>
      </w:tr>
    </w:tbl>
    <w:p w:rsidR="00DA7595" w:rsidRDefault="00CC555C" w:rsidP="00DA7595">
      <w:pPr>
        <w:rPr>
          <w:lang w:eastAsia="ko-KR"/>
        </w:rPr>
      </w:pPr>
      <w:r>
        <w:rPr>
          <w:lang w:eastAsia="ko-KR"/>
        </w:rPr>
        <w:t>Source: APG15-4/OUT-11</w:t>
      </w:r>
    </w:p>
    <w:p w:rsidR="002A14B9" w:rsidRDefault="002A14B9" w:rsidP="0063062B">
      <w:pPr>
        <w:jc w:val="center"/>
        <w:rPr>
          <w:b/>
          <w:bCs/>
          <w:caps/>
          <w:sz w:val="28"/>
          <w:szCs w:val="28"/>
        </w:rPr>
      </w:pPr>
    </w:p>
    <w:p w:rsidR="00C357AD" w:rsidRPr="00607E2B" w:rsidRDefault="00D74D1C" w:rsidP="0063062B">
      <w:pPr>
        <w:jc w:val="center"/>
        <w:rPr>
          <w:b/>
          <w:bCs/>
          <w:caps/>
          <w:sz w:val="28"/>
          <w:szCs w:val="28"/>
        </w:rPr>
      </w:pPr>
      <w:r>
        <w:rPr>
          <w:b/>
          <w:bCs/>
          <w:caps/>
          <w:sz w:val="28"/>
          <w:szCs w:val="28"/>
        </w:rPr>
        <w:t>PRELIMINARY</w:t>
      </w:r>
      <w:r w:rsidR="00D1252E">
        <w:rPr>
          <w:b/>
          <w:bCs/>
          <w:caps/>
          <w:sz w:val="28"/>
          <w:szCs w:val="28"/>
        </w:rPr>
        <w:t xml:space="preserve"> v</w:t>
      </w:r>
      <w:r w:rsidR="001C610F">
        <w:rPr>
          <w:b/>
          <w:bCs/>
          <w:caps/>
          <w:sz w:val="28"/>
          <w:szCs w:val="28"/>
        </w:rPr>
        <w:t>iews on WRC-15</w:t>
      </w:r>
      <w:r w:rsidR="007A507E">
        <w:rPr>
          <w:b/>
          <w:bCs/>
          <w:caps/>
          <w:sz w:val="28"/>
          <w:szCs w:val="28"/>
        </w:rPr>
        <w:t xml:space="preserve"> agenda item </w:t>
      </w:r>
      <w:r w:rsidR="00151F3B">
        <w:rPr>
          <w:b/>
          <w:bCs/>
          <w:caps/>
          <w:sz w:val="28"/>
          <w:szCs w:val="28"/>
        </w:rPr>
        <w:t>1.5</w:t>
      </w:r>
      <w:r w:rsidR="00CC555C">
        <w:rPr>
          <w:b/>
          <w:bCs/>
          <w:caps/>
          <w:sz w:val="28"/>
          <w:szCs w:val="28"/>
        </w:rPr>
        <w:t xml:space="preserve"> developed by apg15-4</w:t>
      </w:r>
    </w:p>
    <w:p w:rsidR="00DB0A68" w:rsidRDefault="00DB0A68" w:rsidP="00C357AD">
      <w:pPr>
        <w:jc w:val="center"/>
      </w:pPr>
    </w:p>
    <w:p w:rsidR="00077C2A" w:rsidRDefault="00077C2A" w:rsidP="00C357AD">
      <w:pPr>
        <w:jc w:val="both"/>
        <w:rPr>
          <w:b/>
        </w:rPr>
      </w:pPr>
    </w:p>
    <w:p w:rsidR="004E2918" w:rsidRDefault="004E2918" w:rsidP="00C357AD">
      <w:pPr>
        <w:jc w:val="both"/>
        <w:rPr>
          <w:b/>
        </w:rPr>
      </w:pPr>
    </w:p>
    <w:p w:rsidR="00151F3B" w:rsidRDefault="00151F3B" w:rsidP="00151F3B">
      <w:pPr>
        <w:jc w:val="both"/>
      </w:pPr>
      <w:r>
        <w:rPr>
          <w:b/>
          <w:bCs/>
          <w:lang w:val="en-CA"/>
        </w:rPr>
        <w:t>Agenda Item 1.5</w:t>
      </w:r>
      <w:r>
        <w:rPr>
          <w:rFonts w:eastAsia="SimSun"/>
          <w:b/>
          <w:bCs/>
          <w:lang w:val="en-CA" w:eastAsia="zh-CN"/>
        </w:rPr>
        <w:t>:</w:t>
      </w:r>
    </w:p>
    <w:p w:rsidR="00151F3B" w:rsidRDefault="00151F3B" w:rsidP="00067066">
      <w:pPr>
        <w:autoSpaceDE w:val="0"/>
        <w:autoSpaceDN w:val="0"/>
        <w:adjustRightInd w:val="0"/>
        <w:spacing w:after="120"/>
        <w:jc w:val="both"/>
        <w:rPr>
          <w:i/>
        </w:rPr>
      </w:pPr>
      <w:r>
        <w:rPr>
          <w:rFonts w:eastAsia="Batang"/>
          <w:i/>
        </w:rPr>
        <w:t xml:space="preserve">to consider the use of frequency bands allocated to the fixed-satellite service not subject to Appendices </w:t>
      </w:r>
      <w:r>
        <w:rPr>
          <w:rFonts w:eastAsia="Batang"/>
          <w:b/>
          <w:bCs/>
          <w:i/>
        </w:rPr>
        <w:t>30</w:t>
      </w:r>
      <w:r>
        <w:rPr>
          <w:rFonts w:eastAsia="Batang"/>
          <w:i/>
        </w:rPr>
        <w:t xml:space="preserve">, </w:t>
      </w:r>
      <w:r>
        <w:rPr>
          <w:rFonts w:eastAsia="Batang"/>
          <w:b/>
          <w:bCs/>
          <w:i/>
        </w:rPr>
        <w:t xml:space="preserve">30A </w:t>
      </w:r>
      <w:r>
        <w:rPr>
          <w:rFonts w:eastAsia="Batang"/>
          <w:i/>
        </w:rPr>
        <w:t xml:space="preserve">and </w:t>
      </w:r>
      <w:r>
        <w:rPr>
          <w:rFonts w:eastAsia="Batang"/>
          <w:b/>
          <w:bCs/>
          <w:i/>
        </w:rPr>
        <w:t xml:space="preserve">30B </w:t>
      </w:r>
      <w:r>
        <w:rPr>
          <w:rFonts w:eastAsia="Batang"/>
          <w:i/>
        </w:rPr>
        <w:t xml:space="preserve">for the control and non-payload communications of unmanned aircraft systems (UAS) in non-segregated airspaces, in accordance with Resolution </w:t>
      </w:r>
      <w:r>
        <w:rPr>
          <w:rFonts w:eastAsia="Batang"/>
          <w:b/>
          <w:bCs/>
          <w:i/>
        </w:rPr>
        <w:t>153 (WRC-12)</w:t>
      </w:r>
    </w:p>
    <w:p w:rsidR="00151F3B" w:rsidRDefault="00151F3B" w:rsidP="00067066">
      <w:pPr>
        <w:spacing w:after="120"/>
        <w:jc w:val="both"/>
      </w:pPr>
    </w:p>
    <w:p w:rsidR="00151F3B" w:rsidRDefault="00151F3B" w:rsidP="0081744F">
      <w:pPr>
        <w:spacing w:after="120"/>
        <w:jc w:val="both"/>
      </w:pPr>
      <w:r>
        <w:rPr>
          <w:b/>
        </w:rPr>
        <w:t>APT Preliminary Views:</w:t>
      </w:r>
    </w:p>
    <w:p w:rsidR="00151F3B" w:rsidRDefault="00151F3B" w:rsidP="0081744F">
      <w:pPr>
        <w:numPr>
          <w:ilvl w:val="0"/>
          <w:numId w:val="16"/>
        </w:numPr>
        <w:spacing w:after="120"/>
        <w:jc w:val="both"/>
      </w:pPr>
      <w:r>
        <w:t xml:space="preserve">Support ITU-R studies on measures to enable use of frequency bands allocated to the fixed-satellite service not subject to Appendices </w:t>
      </w:r>
      <w:r>
        <w:rPr>
          <w:b/>
        </w:rPr>
        <w:t>30</w:t>
      </w:r>
      <w:r>
        <w:t xml:space="preserve">, </w:t>
      </w:r>
      <w:r>
        <w:rPr>
          <w:b/>
        </w:rPr>
        <w:t>30A</w:t>
      </w:r>
      <w:r>
        <w:t xml:space="preserve"> and </w:t>
      </w:r>
      <w:r>
        <w:rPr>
          <w:b/>
        </w:rPr>
        <w:t>30B</w:t>
      </w:r>
      <w:r>
        <w:t xml:space="preserve"> for the control and non-payload communications of unmanned aircraft systems (UAS) in non-segregated airspaces, in accordance with Resolution </w:t>
      </w:r>
      <w:r w:rsidR="00D14612">
        <w:rPr>
          <w:b/>
        </w:rPr>
        <w:t>153 (WRC-</w:t>
      </w:r>
      <w:r>
        <w:rPr>
          <w:b/>
        </w:rPr>
        <w:t>12)</w:t>
      </w:r>
      <w:r>
        <w:t xml:space="preserve">. </w:t>
      </w:r>
    </w:p>
    <w:p w:rsidR="00151F3B" w:rsidRDefault="00151F3B" w:rsidP="0081744F">
      <w:pPr>
        <w:numPr>
          <w:ilvl w:val="0"/>
          <w:numId w:val="16"/>
        </w:numPr>
        <w:spacing w:after="120"/>
        <w:jc w:val="both"/>
      </w:pPr>
      <w:r>
        <w:t>The compatibility between UAS CNPC links and incumbent systems in related bands should be ensured.</w:t>
      </w:r>
    </w:p>
    <w:p w:rsidR="00151F3B" w:rsidRDefault="00151F3B" w:rsidP="0081744F">
      <w:pPr>
        <w:numPr>
          <w:ilvl w:val="0"/>
          <w:numId w:val="16"/>
        </w:numPr>
        <w:spacing w:after="120"/>
        <w:jc w:val="both"/>
      </w:pPr>
      <w:r>
        <w:t>Satellite command and control links should comply with accepted safety requirements, including ICAO Standards and Recommended Practices (SARPs) when developed.</w:t>
      </w:r>
    </w:p>
    <w:p w:rsidR="00151F3B" w:rsidRDefault="00151F3B" w:rsidP="0081744F">
      <w:pPr>
        <w:numPr>
          <w:ilvl w:val="0"/>
          <w:numId w:val="16"/>
        </w:numPr>
        <w:spacing w:after="120"/>
        <w:jc w:val="both"/>
      </w:pPr>
      <w:r>
        <w:t xml:space="preserve">Any regulation relating to UAS operation in FSS bands should </w:t>
      </w:r>
      <w:r>
        <w:rPr>
          <w:rFonts w:eastAsia="MS Mincho"/>
          <w:lang w:eastAsia="ja-JP"/>
        </w:rPr>
        <w:t xml:space="preserve">prevent an adverse </w:t>
      </w:r>
      <w:r>
        <w:t>impact on existing and future satellite networks of the FSS and other services in the same band</w:t>
      </w:r>
      <w:r>
        <w:rPr>
          <w:lang w:val="en-NZ"/>
        </w:rPr>
        <w:t xml:space="preserve"> without compromising relevant ICAO Standards and Recommended Practices (SARPs)</w:t>
      </w:r>
      <w:r>
        <w:t>.</w:t>
      </w:r>
    </w:p>
    <w:p w:rsidR="00151F3B" w:rsidRDefault="00151F3B" w:rsidP="0081744F">
      <w:pPr>
        <w:numPr>
          <w:ilvl w:val="0"/>
          <w:numId w:val="16"/>
        </w:numPr>
        <w:spacing w:after="120"/>
        <w:jc w:val="both"/>
      </w:pPr>
      <w:r>
        <w:rPr>
          <w:rFonts w:eastAsia="Times New Roman" w:cs="Angsana New"/>
          <w:lang w:val="en-GB" w:eastAsia="zh-CN"/>
        </w:rPr>
        <w:t>Clear identification of globally harmonized spectrum</w:t>
      </w:r>
      <w:r>
        <w:rPr>
          <w:rFonts w:eastAsia="SimSun" w:cs="Angsana New"/>
          <w:lang w:val="en-GB" w:eastAsia="zh-CN"/>
        </w:rPr>
        <w:t xml:space="preserve"> for UAS CNPC links is preferred so that the current practice of licensing of manned aircraft following the ICAO standards can be extended to unmanned aircraft.</w:t>
      </w:r>
    </w:p>
    <w:p w:rsidR="00151F3B" w:rsidRDefault="00151F3B" w:rsidP="0081744F">
      <w:pPr>
        <w:numPr>
          <w:ilvl w:val="0"/>
          <w:numId w:val="16"/>
        </w:numPr>
        <w:spacing w:after="120"/>
        <w:jc w:val="both"/>
      </w:pPr>
      <w:r>
        <w:rPr>
          <w:rFonts w:eastAsia="Times New Roman" w:cs="Angsana New"/>
          <w:lang w:val="en-GB" w:eastAsia="zh-CN"/>
        </w:rPr>
        <w:t xml:space="preserve">All studies relating to the supporting Document towards preliminary draft new Report should be duly completed and adopted by ITU-R Study Groups before WRC-15. </w:t>
      </w:r>
    </w:p>
    <w:p w:rsidR="00151F3B" w:rsidRDefault="00151F3B" w:rsidP="0081744F">
      <w:pPr>
        <w:numPr>
          <w:ilvl w:val="0"/>
          <w:numId w:val="16"/>
        </w:numPr>
        <w:spacing w:after="120"/>
        <w:jc w:val="both"/>
      </w:pPr>
      <w:r>
        <w:rPr>
          <w:rFonts w:eastAsia="SimSun" w:cs="Angsana New"/>
          <w:lang w:val="en-GB" w:eastAsia="zh-CN"/>
        </w:rPr>
        <w:t xml:space="preserve">All technical, operational, regulatory issues referred to above should be properly addressed. </w:t>
      </w:r>
    </w:p>
    <w:p w:rsidR="00151F3B" w:rsidRDefault="00151F3B" w:rsidP="0081744F">
      <w:pPr>
        <w:numPr>
          <w:ilvl w:val="0"/>
          <w:numId w:val="16"/>
        </w:numPr>
        <w:spacing w:after="120"/>
        <w:jc w:val="both"/>
        <w:rPr>
          <w:b/>
        </w:rPr>
      </w:pPr>
      <w:r>
        <w:rPr>
          <w:rFonts w:eastAsia="SimSun" w:cs="Angsana New"/>
          <w:lang w:eastAsia="zh-CN"/>
        </w:rPr>
        <w:t xml:space="preserve">Performance availability and service availability requirements to ensure safety aspects of the UAS CNPC and to conform to the very high degree of reliability required for such operation are yet to be established. </w:t>
      </w:r>
    </w:p>
    <w:p w:rsidR="007D1CAB" w:rsidRDefault="007D1CAB" w:rsidP="0081744F">
      <w:pPr>
        <w:spacing w:after="120"/>
        <w:jc w:val="both"/>
        <w:rPr>
          <w:b/>
        </w:rPr>
      </w:pPr>
    </w:p>
    <w:p w:rsidR="00151F3B" w:rsidRDefault="00151F3B" w:rsidP="0081744F">
      <w:pPr>
        <w:spacing w:after="120"/>
        <w:jc w:val="both"/>
        <w:rPr>
          <w:b/>
        </w:rPr>
      </w:pPr>
      <w:r>
        <w:rPr>
          <w:b/>
        </w:rPr>
        <w:t>APT Views on the methods proposed to address the Agenda item:</w:t>
      </w:r>
    </w:p>
    <w:p w:rsidR="00151F3B" w:rsidRDefault="00151F3B" w:rsidP="0081744F">
      <w:pPr>
        <w:spacing w:after="120"/>
        <w:jc w:val="both"/>
        <w:rPr>
          <w:b/>
        </w:rPr>
      </w:pPr>
      <w:r>
        <w:rPr>
          <w:b/>
        </w:rPr>
        <w:lastRenderedPageBreak/>
        <w:t>View One</w:t>
      </w:r>
    </w:p>
    <w:p w:rsidR="00151F3B" w:rsidRDefault="00151F3B" w:rsidP="0081744F">
      <w:pPr>
        <w:spacing w:after="120"/>
        <w:jc w:val="both"/>
        <w:rPr>
          <w:b/>
        </w:rPr>
      </w:pPr>
      <w:r>
        <w:rPr>
          <w:b/>
        </w:rPr>
        <w:t xml:space="preserve">Supporting Method A </w:t>
      </w:r>
    </w:p>
    <w:p w:rsidR="00151F3B" w:rsidRDefault="00151F3B" w:rsidP="0081744F">
      <w:pPr>
        <w:spacing w:after="120"/>
        <w:jc w:val="both"/>
      </w:pPr>
      <w:r>
        <w:t xml:space="preserve">UAS CNPC links could be supported on the basis that systems operating in the FSS have the capability to provide reliable BLOS communications between unmanned aircraft and control stations, and UAS already operate in segregated airspace using FSS frequency bands for unmanned aircraft to satellite links under No. </w:t>
      </w:r>
      <w:r>
        <w:rPr>
          <w:b/>
        </w:rPr>
        <w:t>4.4</w:t>
      </w:r>
      <w:r>
        <w:t xml:space="preserve"> of the Radio Regulations. </w:t>
      </w:r>
    </w:p>
    <w:p w:rsidR="00151F3B" w:rsidRDefault="00151F3B" w:rsidP="0081744F">
      <w:pPr>
        <w:spacing w:after="120"/>
        <w:jc w:val="both"/>
      </w:pPr>
      <w:r>
        <w:t xml:space="preserve">Proponents of </w:t>
      </w:r>
      <w:r>
        <w:rPr>
          <w:bCs/>
        </w:rPr>
        <w:t>Method A of the draft CPM text recognise that</w:t>
      </w:r>
      <w:r>
        <w:t xml:space="preserve"> the associated draft Resolution should address technical, operational, regulatory, procedural and safety aspects of the use of FSS for UAS CNPC</w:t>
      </w:r>
      <w:r w:rsidR="00014F95">
        <w:t xml:space="preserve"> and further discussion of this resolution is required at ITU-R (See section </w:t>
      </w:r>
      <w:r w:rsidR="0081331A">
        <w:t xml:space="preserve">1, </w:t>
      </w:r>
      <w:r w:rsidR="0081331A" w:rsidRPr="0081331A">
        <w:t>Methods to Satisfy the Agenda Item</w:t>
      </w:r>
      <w:r w:rsidR="00014F95">
        <w:t>)</w:t>
      </w:r>
      <w:r>
        <w:t xml:space="preserve">. </w:t>
      </w:r>
    </w:p>
    <w:p w:rsidR="00151F3B" w:rsidRDefault="00151F3B" w:rsidP="0081744F">
      <w:pPr>
        <w:spacing w:after="120"/>
        <w:jc w:val="both"/>
      </w:pPr>
      <w:r>
        <w:t xml:space="preserve">To this effect, issues mentioned in section 4 above need to be duly and properly addressed and the Resolution associated with method A should satisfy all conditions and requirements which include but are not limited to those mentioned above. </w:t>
      </w:r>
    </w:p>
    <w:p w:rsidR="00151F3B" w:rsidRDefault="00151F3B" w:rsidP="0081744F">
      <w:pPr>
        <w:spacing w:after="120"/>
        <w:jc w:val="both"/>
        <w:rPr>
          <w:b/>
        </w:rPr>
      </w:pPr>
      <w:r>
        <w:rPr>
          <w:b/>
        </w:rPr>
        <w:t xml:space="preserve">View Two </w:t>
      </w:r>
    </w:p>
    <w:p w:rsidR="00151F3B" w:rsidRDefault="00151F3B" w:rsidP="0081744F">
      <w:pPr>
        <w:spacing w:after="120"/>
        <w:jc w:val="both"/>
        <w:rPr>
          <w:b/>
        </w:rPr>
      </w:pPr>
      <w:r>
        <w:rPr>
          <w:b/>
        </w:rPr>
        <w:t>Supporting Method B</w:t>
      </w:r>
    </w:p>
    <w:p w:rsidR="00151F3B" w:rsidRDefault="00151F3B" w:rsidP="0081744F">
      <w:pPr>
        <w:spacing w:after="120"/>
        <w:jc w:val="both"/>
      </w:pPr>
      <w:r>
        <w:t>No change NOC</w:t>
      </w:r>
    </w:p>
    <w:p w:rsidR="00151F3B" w:rsidRDefault="00151F3B" w:rsidP="0081744F">
      <w:pPr>
        <w:spacing w:after="120"/>
        <w:jc w:val="both"/>
        <w:rPr>
          <w:i/>
        </w:rPr>
      </w:pPr>
      <w:r>
        <w:rPr>
          <w:i/>
        </w:rPr>
        <w:t>Reasons</w:t>
      </w:r>
    </w:p>
    <w:p w:rsidR="00151F3B" w:rsidRDefault="00151F3B" w:rsidP="0081744F">
      <w:pPr>
        <w:spacing w:after="120"/>
        <w:jc w:val="both"/>
      </w:pPr>
      <w:r>
        <w:t xml:space="preserve">The numerous obstacles, constraints and due to uncertainty in the operational, regulatory and procedural aspects of the FSS as a commercial communication link to be used for an application of highly safety aspects, it is difficult, if not impossible, to state, at this stage, that FSS could be used to provide CNPC application in UAS. </w:t>
      </w:r>
      <w:r>
        <w:rPr>
          <w:lang w:val="en-NZ"/>
        </w:rPr>
        <w:t xml:space="preserve">Moreover, existing allocations for AMS(R)S as well as AMSS and MSS, under certain conditions would satisfy the requirements for UAS CNPC in the frequency bands of these services. </w:t>
      </w:r>
    </w:p>
    <w:p w:rsidR="00151F3B" w:rsidRDefault="00151F3B" w:rsidP="0081744F">
      <w:pPr>
        <w:keepNext/>
        <w:spacing w:after="120"/>
        <w:jc w:val="both"/>
        <w:rPr>
          <w:b/>
        </w:rPr>
      </w:pPr>
      <w:r>
        <w:rPr>
          <w:b/>
        </w:rPr>
        <w:t>Other Possible Methods</w:t>
      </w:r>
    </w:p>
    <w:p w:rsidR="00151F3B" w:rsidRDefault="00151F3B" w:rsidP="0081744F">
      <w:pPr>
        <w:spacing w:after="120"/>
        <w:jc w:val="both"/>
      </w:pPr>
      <w:r>
        <w:t xml:space="preserve">Some APT Members remain open to other Methods that might be developed to satisfy this Agenda item, other APT Members do not support this concept. </w:t>
      </w:r>
    </w:p>
    <w:p w:rsidR="00151F3B" w:rsidRDefault="00151F3B" w:rsidP="0081744F">
      <w:pPr>
        <w:spacing w:after="120"/>
        <w:jc w:val="both"/>
        <w:rPr>
          <w:b/>
        </w:rPr>
      </w:pPr>
    </w:p>
    <w:p w:rsidR="00151F3B" w:rsidRDefault="00151F3B" w:rsidP="0081744F">
      <w:pPr>
        <w:spacing w:after="120"/>
        <w:jc w:val="both"/>
        <w:rPr>
          <w:b/>
        </w:rPr>
      </w:pPr>
      <w:bookmarkStart w:id="0" w:name="_GoBack"/>
      <w:bookmarkEnd w:id="0"/>
      <w:r>
        <w:rPr>
          <w:b/>
        </w:rPr>
        <w:t>Issues for Consideration at APG15-</w:t>
      </w:r>
      <w:r w:rsidR="00082313">
        <w:rPr>
          <w:b/>
        </w:rPr>
        <w:t>5</w:t>
      </w:r>
      <w:r>
        <w:rPr>
          <w:b/>
        </w:rPr>
        <w:t xml:space="preserve"> Meeting: </w:t>
      </w:r>
    </w:p>
    <w:p w:rsidR="00151F3B" w:rsidRDefault="008627E4" w:rsidP="0081744F">
      <w:pPr>
        <w:spacing w:after="120"/>
        <w:jc w:val="both"/>
      </w:pPr>
      <w:r>
        <w:t xml:space="preserve">It should be noted that the above views, coming substantially from APG15-3, should be reviewed based on developments of the matter between APG15-3 and APG15-5. </w:t>
      </w:r>
      <w:r w:rsidR="00151F3B">
        <w:t>APT Members are invited to follow the progress of ITU-R studies</w:t>
      </w:r>
      <w:r>
        <w:t>, including the outcome of CPM15-2,</w:t>
      </w:r>
      <w:r w:rsidR="00151F3B">
        <w:t xml:space="preserve"> and encouraged to contribute to these studies to be considered at APG15-</w:t>
      </w:r>
      <w:r w:rsidR="00082313">
        <w:t>5</w:t>
      </w:r>
      <w:r w:rsidR="00151F3B">
        <w:t>.</w:t>
      </w:r>
    </w:p>
    <w:p w:rsidR="00151F3B" w:rsidRDefault="00151F3B" w:rsidP="0081744F">
      <w:pPr>
        <w:spacing w:after="120"/>
        <w:jc w:val="both"/>
      </w:pPr>
    </w:p>
    <w:p w:rsidR="00151F3B" w:rsidRDefault="00151F3B" w:rsidP="00151F3B">
      <w:pPr>
        <w:jc w:val="center"/>
      </w:pPr>
    </w:p>
    <w:p w:rsidR="00151F3B" w:rsidRDefault="00151F3B" w:rsidP="00151F3B">
      <w:pPr>
        <w:jc w:val="center"/>
      </w:pPr>
    </w:p>
    <w:p w:rsidR="00151F3B" w:rsidRDefault="00151F3B" w:rsidP="00151F3B">
      <w:pPr>
        <w:jc w:val="center"/>
      </w:pPr>
    </w:p>
    <w:p w:rsidR="00151F3B" w:rsidRDefault="00151F3B" w:rsidP="00151F3B">
      <w:pPr>
        <w:jc w:val="center"/>
        <w:rPr>
          <w:snapToGrid w:val="0"/>
        </w:rPr>
      </w:pPr>
      <w:r>
        <w:t>____________</w:t>
      </w:r>
    </w:p>
    <w:p w:rsidR="00DA7595" w:rsidRPr="009A4A6D" w:rsidRDefault="00DA7595" w:rsidP="00151F3B">
      <w:pPr>
        <w:jc w:val="both"/>
        <w:rPr>
          <w:snapToGrid w:val="0"/>
        </w:rPr>
      </w:pPr>
    </w:p>
    <w:sectPr w:rsidR="00DA7595" w:rsidRPr="009A4A6D" w:rsidSect="00067066">
      <w:headerReference w:type="default" r:id="rId9"/>
      <w:footerReference w:type="even" r:id="rId10"/>
      <w:footerReference w:type="default" r:id="rId11"/>
      <w:footerReference w:type="first" r:id="rId12"/>
      <w:pgSz w:w="11909" w:h="16834" w:code="9"/>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C8" w:rsidRDefault="001D1EC8">
      <w:r>
        <w:separator/>
      </w:r>
    </w:p>
  </w:endnote>
  <w:endnote w:type="continuationSeparator" w:id="0">
    <w:p w:rsidR="001D1EC8" w:rsidRDefault="001D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CC555C">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CC555C">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067066">
    <w:pPr>
      <w:pStyle w:val="Footer"/>
      <w:tabs>
        <w:tab w:val="clear" w:pos="4320"/>
        <w:tab w:val="clear" w:pos="8640"/>
        <w:tab w:val="left" w:pos="54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C8" w:rsidRDefault="001D1EC8">
      <w:r>
        <w:separator/>
      </w:r>
    </w:p>
  </w:footnote>
  <w:footnote w:type="continuationSeparator" w:id="0">
    <w:p w:rsidR="001D1EC8" w:rsidRDefault="001D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r w:rsidR="00CC555C">
      <w:rPr>
        <w:lang w:eastAsia="ko-KR"/>
      </w:rPr>
      <w:t>APG PV AI1.5</w:t>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597"/>
    <w:multiLevelType w:val="hybridMultilevel"/>
    <w:tmpl w:val="A230B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4053B6"/>
    <w:multiLevelType w:val="hybridMultilevel"/>
    <w:tmpl w:val="73BA2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3014E26"/>
    <w:multiLevelType w:val="hybridMultilevel"/>
    <w:tmpl w:val="95463138"/>
    <w:lvl w:ilvl="0" w:tplc="7DF0FCCE">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1348598C"/>
    <w:multiLevelType w:val="hybridMultilevel"/>
    <w:tmpl w:val="577EE668"/>
    <w:lvl w:ilvl="0" w:tplc="11681526">
      <w:start w:val="1"/>
      <w:numFmt w:val="bullet"/>
      <w:lvlText w:val="-"/>
      <w:lvlJc w:val="left"/>
      <w:pPr>
        <w:ind w:left="420" w:hanging="420"/>
      </w:pPr>
      <w:rPr>
        <w:rFonts w:ascii="MS Gothic" w:eastAsia="MS Gothic" w:hAnsi="MS Gothic"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4845B3"/>
    <w:multiLevelType w:val="hybridMultilevel"/>
    <w:tmpl w:val="7244F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8C27D6A"/>
    <w:multiLevelType w:val="hybridMultilevel"/>
    <w:tmpl w:val="A5DC9544"/>
    <w:lvl w:ilvl="0" w:tplc="820CAD7E">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36EC309F"/>
    <w:multiLevelType w:val="hybridMultilevel"/>
    <w:tmpl w:val="EF0C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3F526880"/>
    <w:multiLevelType w:val="hybridMultilevel"/>
    <w:tmpl w:val="822EA5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6D17CA1"/>
    <w:multiLevelType w:val="hybridMultilevel"/>
    <w:tmpl w:val="C9B4A0AC"/>
    <w:lvl w:ilvl="0" w:tplc="34AC134C">
      <w:start w:val="1"/>
      <w:numFmt w:val="lowerRoman"/>
      <w:lvlText w:val="%1)"/>
      <w:lvlJc w:val="left"/>
      <w:pPr>
        <w:ind w:left="1200" w:hanging="720"/>
      </w:pPr>
    </w:lvl>
    <w:lvl w:ilvl="1" w:tplc="0C090019">
      <w:start w:val="1"/>
      <w:numFmt w:val="lowerLetter"/>
      <w:lvlText w:val="%2."/>
      <w:lvlJc w:val="left"/>
      <w:pPr>
        <w:ind w:left="1560" w:hanging="360"/>
      </w:pPr>
    </w:lvl>
    <w:lvl w:ilvl="2" w:tplc="0C09001B">
      <w:start w:val="1"/>
      <w:numFmt w:val="lowerRoman"/>
      <w:lvlText w:val="%3."/>
      <w:lvlJc w:val="right"/>
      <w:pPr>
        <w:ind w:left="2280" w:hanging="180"/>
      </w:pPr>
    </w:lvl>
    <w:lvl w:ilvl="3" w:tplc="0C09000F">
      <w:start w:val="1"/>
      <w:numFmt w:val="decimal"/>
      <w:lvlText w:val="%4."/>
      <w:lvlJc w:val="left"/>
      <w:pPr>
        <w:ind w:left="3000" w:hanging="360"/>
      </w:pPr>
    </w:lvl>
    <w:lvl w:ilvl="4" w:tplc="0C090019">
      <w:start w:val="1"/>
      <w:numFmt w:val="lowerLetter"/>
      <w:lvlText w:val="%5."/>
      <w:lvlJc w:val="left"/>
      <w:pPr>
        <w:ind w:left="3720" w:hanging="360"/>
      </w:pPr>
    </w:lvl>
    <w:lvl w:ilvl="5" w:tplc="0C09001B">
      <w:start w:val="1"/>
      <w:numFmt w:val="lowerRoman"/>
      <w:lvlText w:val="%6."/>
      <w:lvlJc w:val="right"/>
      <w:pPr>
        <w:ind w:left="4440" w:hanging="180"/>
      </w:pPr>
    </w:lvl>
    <w:lvl w:ilvl="6" w:tplc="0C09000F">
      <w:start w:val="1"/>
      <w:numFmt w:val="decimal"/>
      <w:lvlText w:val="%7."/>
      <w:lvlJc w:val="left"/>
      <w:pPr>
        <w:ind w:left="5160" w:hanging="360"/>
      </w:pPr>
    </w:lvl>
    <w:lvl w:ilvl="7" w:tplc="0C090019">
      <w:start w:val="1"/>
      <w:numFmt w:val="lowerLetter"/>
      <w:lvlText w:val="%8."/>
      <w:lvlJc w:val="left"/>
      <w:pPr>
        <w:ind w:left="5880" w:hanging="360"/>
      </w:pPr>
    </w:lvl>
    <w:lvl w:ilvl="8" w:tplc="0C09001B">
      <w:start w:val="1"/>
      <w:numFmt w:val="lowerRoman"/>
      <w:lvlText w:val="%9."/>
      <w:lvlJc w:val="right"/>
      <w:pPr>
        <w:ind w:left="6600" w:hanging="180"/>
      </w:pPr>
    </w:lvl>
  </w:abstractNum>
  <w:abstractNum w:abstractNumId="16">
    <w:nsid w:val="4820410E"/>
    <w:multiLevelType w:val="hybridMultilevel"/>
    <w:tmpl w:val="3DB22EAC"/>
    <w:lvl w:ilvl="0" w:tplc="594C398C">
      <w:start w:val="1"/>
      <w:numFmt w:val="bullet"/>
      <w:lvlText w:val="-"/>
      <w:lvlJc w:val="left"/>
      <w:pPr>
        <w:ind w:left="720" w:hanging="360"/>
      </w:pPr>
      <w:rPr>
        <w:rFonts w:ascii="Times New Roman" w:eastAsia="MS P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6E9A6AE0"/>
    <w:multiLevelType w:val="hybridMultilevel"/>
    <w:tmpl w:val="E7B226B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nsid w:val="74BB72C9"/>
    <w:multiLevelType w:val="hybridMultilevel"/>
    <w:tmpl w:val="2B26B15E"/>
    <w:lvl w:ilvl="0" w:tplc="0F7C8428">
      <w:start w:val="1"/>
      <w:numFmt w:val="decimal"/>
      <w:lvlText w:val="%1."/>
      <w:lvlJc w:val="left"/>
      <w:pPr>
        <w:ind w:left="720" w:hanging="360"/>
      </w:pPr>
      <w:rPr>
        <w:rFonts w:ascii="Times New Roman" w:eastAsia="BatangChe" w:hAnsi="Times New Roman" w:cs="Times New Roman" w:hint="default"/>
      </w:rPr>
    </w:lvl>
    <w:lvl w:ilvl="1" w:tplc="A41E988E">
      <w:start w:val="1"/>
      <w:numFmt w:val="decimal"/>
      <w:lvlText w:val="3.%2"/>
      <w:lvlJc w:val="left"/>
      <w:pPr>
        <w:ind w:left="279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74EF4C07"/>
    <w:multiLevelType w:val="hybridMultilevel"/>
    <w:tmpl w:val="F0FEF96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57277F0"/>
    <w:multiLevelType w:val="hybridMultilevel"/>
    <w:tmpl w:val="5A64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6753B28"/>
    <w:multiLevelType w:val="hybridMultilevel"/>
    <w:tmpl w:val="7F14CA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8"/>
  </w:num>
  <w:num w:numId="4">
    <w:abstractNumId w:val="18"/>
  </w:num>
  <w:num w:numId="5">
    <w:abstractNumId w:val="10"/>
  </w:num>
  <w:num w:numId="6">
    <w:abstractNumId w:val="13"/>
  </w:num>
  <w:num w:numId="7">
    <w:abstractNumId w:val="7"/>
  </w:num>
  <w:num w:numId="8">
    <w:abstractNumId w:val="2"/>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2"/>
  </w:num>
  <w:num w:numId="18">
    <w:abstractNumId w:val="17"/>
  </w:num>
  <w:num w:numId="19">
    <w:abstractNumId w:val="4"/>
  </w:num>
  <w:num w:numId="20">
    <w:abstractNumId w:val="6"/>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33"/>
    <w:rsid w:val="00014F95"/>
    <w:rsid w:val="00017700"/>
    <w:rsid w:val="0002295B"/>
    <w:rsid w:val="0003595B"/>
    <w:rsid w:val="00066464"/>
    <w:rsid w:val="00067066"/>
    <w:rsid w:val="000713CF"/>
    <w:rsid w:val="000756AE"/>
    <w:rsid w:val="00077C2A"/>
    <w:rsid w:val="00081C49"/>
    <w:rsid w:val="00082313"/>
    <w:rsid w:val="00083CCD"/>
    <w:rsid w:val="000A2321"/>
    <w:rsid w:val="000A5418"/>
    <w:rsid w:val="000B238E"/>
    <w:rsid w:val="000E4622"/>
    <w:rsid w:val="000F412F"/>
    <w:rsid w:val="000F517C"/>
    <w:rsid w:val="000F5540"/>
    <w:rsid w:val="0012416A"/>
    <w:rsid w:val="00132CE5"/>
    <w:rsid w:val="00151F3B"/>
    <w:rsid w:val="001539DD"/>
    <w:rsid w:val="00196568"/>
    <w:rsid w:val="001A2CF1"/>
    <w:rsid w:val="001A2F16"/>
    <w:rsid w:val="001A480C"/>
    <w:rsid w:val="001B18C2"/>
    <w:rsid w:val="001C610F"/>
    <w:rsid w:val="001D1EC8"/>
    <w:rsid w:val="001D5981"/>
    <w:rsid w:val="001D5D7E"/>
    <w:rsid w:val="00216187"/>
    <w:rsid w:val="00227095"/>
    <w:rsid w:val="00231B20"/>
    <w:rsid w:val="00254A1B"/>
    <w:rsid w:val="00273EF1"/>
    <w:rsid w:val="0028454D"/>
    <w:rsid w:val="002860F0"/>
    <w:rsid w:val="00290ABD"/>
    <w:rsid w:val="00291C9E"/>
    <w:rsid w:val="002926D4"/>
    <w:rsid w:val="00295D9B"/>
    <w:rsid w:val="002A14B9"/>
    <w:rsid w:val="002A3DB9"/>
    <w:rsid w:val="002C07DA"/>
    <w:rsid w:val="002C7EA9"/>
    <w:rsid w:val="002F5D78"/>
    <w:rsid w:val="00342F20"/>
    <w:rsid w:val="00356805"/>
    <w:rsid w:val="003809C7"/>
    <w:rsid w:val="00390F78"/>
    <w:rsid w:val="003B6263"/>
    <w:rsid w:val="003C64A7"/>
    <w:rsid w:val="003D1E77"/>
    <w:rsid w:val="003D3FDA"/>
    <w:rsid w:val="003E6BC8"/>
    <w:rsid w:val="00420822"/>
    <w:rsid w:val="0042592C"/>
    <w:rsid w:val="00427A1A"/>
    <w:rsid w:val="00434F70"/>
    <w:rsid w:val="004444CA"/>
    <w:rsid w:val="0045458F"/>
    <w:rsid w:val="004633B4"/>
    <w:rsid w:val="00473941"/>
    <w:rsid w:val="00474B82"/>
    <w:rsid w:val="004A3BD3"/>
    <w:rsid w:val="004B011E"/>
    <w:rsid w:val="004B3553"/>
    <w:rsid w:val="004B51ED"/>
    <w:rsid w:val="004D2288"/>
    <w:rsid w:val="004E2918"/>
    <w:rsid w:val="00501463"/>
    <w:rsid w:val="00526918"/>
    <w:rsid w:val="00530E8C"/>
    <w:rsid w:val="00532D8B"/>
    <w:rsid w:val="005450AD"/>
    <w:rsid w:val="00545933"/>
    <w:rsid w:val="00557544"/>
    <w:rsid w:val="00572E9C"/>
    <w:rsid w:val="00580834"/>
    <w:rsid w:val="00587875"/>
    <w:rsid w:val="005A2978"/>
    <w:rsid w:val="005D23EF"/>
    <w:rsid w:val="00607E2B"/>
    <w:rsid w:val="00623CE1"/>
    <w:rsid w:val="006246F9"/>
    <w:rsid w:val="0063062B"/>
    <w:rsid w:val="006358BE"/>
    <w:rsid w:val="00657A5B"/>
    <w:rsid w:val="00667229"/>
    <w:rsid w:val="00682BE5"/>
    <w:rsid w:val="00685EC3"/>
    <w:rsid w:val="00690FED"/>
    <w:rsid w:val="006939A5"/>
    <w:rsid w:val="006A02CF"/>
    <w:rsid w:val="006A4000"/>
    <w:rsid w:val="006C4473"/>
    <w:rsid w:val="006D2F07"/>
    <w:rsid w:val="00712451"/>
    <w:rsid w:val="00732F08"/>
    <w:rsid w:val="007340F4"/>
    <w:rsid w:val="0074190C"/>
    <w:rsid w:val="00762576"/>
    <w:rsid w:val="00791060"/>
    <w:rsid w:val="00796B94"/>
    <w:rsid w:val="007A25B1"/>
    <w:rsid w:val="007A2E77"/>
    <w:rsid w:val="007A507E"/>
    <w:rsid w:val="007A72F4"/>
    <w:rsid w:val="007B00DD"/>
    <w:rsid w:val="007B5626"/>
    <w:rsid w:val="007D1CAB"/>
    <w:rsid w:val="007D59A6"/>
    <w:rsid w:val="0080570B"/>
    <w:rsid w:val="0081331A"/>
    <w:rsid w:val="008148E1"/>
    <w:rsid w:val="0081744F"/>
    <w:rsid w:val="00826BFA"/>
    <w:rsid w:val="008319BF"/>
    <w:rsid w:val="00836BD6"/>
    <w:rsid w:val="008401CE"/>
    <w:rsid w:val="00842D39"/>
    <w:rsid w:val="00851565"/>
    <w:rsid w:val="00856008"/>
    <w:rsid w:val="008627E4"/>
    <w:rsid w:val="0089211A"/>
    <w:rsid w:val="008A1DAF"/>
    <w:rsid w:val="008D0E09"/>
    <w:rsid w:val="008F6C5E"/>
    <w:rsid w:val="00925852"/>
    <w:rsid w:val="00953CD0"/>
    <w:rsid w:val="009712AF"/>
    <w:rsid w:val="0097693B"/>
    <w:rsid w:val="00976F29"/>
    <w:rsid w:val="00977009"/>
    <w:rsid w:val="00993355"/>
    <w:rsid w:val="00993BCE"/>
    <w:rsid w:val="009A42E8"/>
    <w:rsid w:val="009A4A6D"/>
    <w:rsid w:val="009B65D8"/>
    <w:rsid w:val="00A07103"/>
    <w:rsid w:val="00A13265"/>
    <w:rsid w:val="00A26CE9"/>
    <w:rsid w:val="00A333FB"/>
    <w:rsid w:val="00A53011"/>
    <w:rsid w:val="00A643D6"/>
    <w:rsid w:val="00A71136"/>
    <w:rsid w:val="00A85173"/>
    <w:rsid w:val="00AA474C"/>
    <w:rsid w:val="00AA7338"/>
    <w:rsid w:val="00AB4C6A"/>
    <w:rsid w:val="00AC3F73"/>
    <w:rsid w:val="00AD5FA8"/>
    <w:rsid w:val="00AD6911"/>
    <w:rsid w:val="00AD7E5F"/>
    <w:rsid w:val="00AF5C01"/>
    <w:rsid w:val="00B00B95"/>
    <w:rsid w:val="00B01AA1"/>
    <w:rsid w:val="00B02F45"/>
    <w:rsid w:val="00B308EF"/>
    <w:rsid w:val="00B30C81"/>
    <w:rsid w:val="00B30DD2"/>
    <w:rsid w:val="00B4793B"/>
    <w:rsid w:val="00B77B33"/>
    <w:rsid w:val="00BB0DED"/>
    <w:rsid w:val="00BB637C"/>
    <w:rsid w:val="00BD2BA2"/>
    <w:rsid w:val="00C122DB"/>
    <w:rsid w:val="00C15633"/>
    <w:rsid w:val="00C15799"/>
    <w:rsid w:val="00C238FE"/>
    <w:rsid w:val="00C357AD"/>
    <w:rsid w:val="00C4001A"/>
    <w:rsid w:val="00C6069C"/>
    <w:rsid w:val="00C7300B"/>
    <w:rsid w:val="00C734D1"/>
    <w:rsid w:val="00C80AEC"/>
    <w:rsid w:val="00C91801"/>
    <w:rsid w:val="00C92ED6"/>
    <w:rsid w:val="00CA46FE"/>
    <w:rsid w:val="00CC555C"/>
    <w:rsid w:val="00CD5431"/>
    <w:rsid w:val="00CF2491"/>
    <w:rsid w:val="00CF2D85"/>
    <w:rsid w:val="00D00930"/>
    <w:rsid w:val="00D1252E"/>
    <w:rsid w:val="00D13B41"/>
    <w:rsid w:val="00D14612"/>
    <w:rsid w:val="00D163F5"/>
    <w:rsid w:val="00D36655"/>
    <w:rsid w:val="00D43554"/>
    <w:rsid w:val="00D4765E"/>
    <w:rsid w:val="00D57772"/>
    <w:rsid w:val="00D74D1C"/>
    <w:rsid w:val="00D75A4D"/>
    <w:rsid w:val="00D8478B"/>
    <w:rsid w:val="00D86151"/>
    <w:rsid w:val="00D92856"/>
    <w:rsid w:val="00DA395E"/>
    <w:rsid w:val="00DA7595"/>
    <w:rsid w:val="00DB0A68"/>
    <w:rsid w:val="00DC43A3"/>
    <w:rsid w:val="00DD7C09"/>
    <w:rsid w:val="00DE733D"/>
    <w:rsid w:val="00E0124F"/>
    <w:rsid w:val="00E07615"/>
    <w:rsid w:val="00E274BC"/>
    <w:rsid w:val="00E674D3"/>
    <w:rsid w:val="00E70FD0"/>
    <w:rsid w:val="00E852FB"/>
    <w:rsid w:val="00ED102C"/>
    <w:rsid w:val="00ED70F7"/>
    <w:rsid w:val="00EE245D"/>
    <w:rsid w:val="00EF0807"/>
    <w:rsid w:val="00F06C9D"/>
    <w:rsid w:val="00F10B3A"/>
    <w:rsid w:val="00F17D17"/>
    <w:rsid w:val="00F24D2A"/>
    <w:rsid w:val="00F51C24"/>
    <w:rsid w:val="00F60985"/>
    <w:rsid w:val="00F629DE"/>
    <w:rsid w:val="00F84067"/>
    <w:rsid w:val="00FA4636"/>
    <w:rsid w:val="00FB3F46"/>
    <w:rsid w:val="00FB7B83"/>
    <w:rsid w:val="00FC0938"/>
    <w:rsid w:val="00FD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117E6E-00A6-442C-9A5A-7B58C307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BD2B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rsid w:val="00AD6911"/>
    <w:rPr>
      <w:rFonts w:ascii="Tahoma" w:hAnsi="Tahoma" w:cs="Tahoma"/>
      <w:sz w:val="16"/>
      <w:szCs w:val="16"/>
    </w:rPr>
  </w:style>
  <w:style w:type="character" w:customStyle="1" w:styleId="BalloonTextChar">
    <w:name w:val="Balloon Text Char"/>
    <w:basedOn w:val="DefaultParagraphFont"/>
    <w:link w:val="BalloonText"/>
    <w:rsid w:val="00AD6911"/>
    <w:rPr>
      <w:rFonts w:ascii="Tahoma" w:eastAsia="BatangChe" w:hAnsi="Tahoma" w:cs="Tahoma"/>
      <w:sz w:val="16"/>
      <w:szCs w:val="16"/>
    </w:rPr>
  </w:style>
  <w:style w:type="character" w:styleId="Hyperlink">
    <w:name w:val="Hyperlink"/>
    <w:unhideWhenUsed/>
    <w:rsid w:val="00151F3B"/>
    <w:rPr>
      <w:color w:val="0000FF"/>
      <w:u w:val="single"/>
    </w:rPr>
  </w:style>
  <w:style w:type="character" w:customStyle="1" w:styleId="FootnoteTextChar">
    <w:name w:val="Footnote Text Char"/>
    <w:aliases w:val="footnote text Char,ALTS FOOTNOTE Char Char,ALTS FOOTNOTE Char1,Footnote Text Char Char1 Char,Footnote Text Char4 Char Char Char,Footnote Text Char1 Char1 Char1 Char Char,Footnote Text Char Char1 Char1 Char Char Char,DNV-FT Char"/>
    <w:basedOn w:val="DefaultParagraphFont"/>
    <w:link w:val="FootnoteText"/>
    <w:uiPriority w:val="99"/>
    <w:locked/>
    <w:rsid w:val="00151F3B"/>
    <w:rPr>
      <w:rFonts w:ascii="BatangChe" w:eastAsia="BatangChe" w:hAnsi="BatangChe"/>
      <w:lang w:val="en-AU"/>
    </w:rPr>
  </w:style>
  <w:style w:type="paragraph" w:styleId="FootnoteText">
    <w:name w:val="footnote text"/>
    <w:aliases w:val="footnote text,ALTS FOOTNOTE Char,ALTS FOOTNOTE,Footnote Text Char Char1,Footnote Text Char4 Char Char,Footnote Text Char1 Char1 Char1 Char,Footnote Text Char Char1 Char1 Char Char,Footnote Text Char1 Char1 Char1 Char Char Char1,DNV-FT,DNV-"/>
    <w:basedOn w:val="Normal"/>
    <w:link w:val="FootnoteTextChar"/>
    <w:uiPriority w:val="99"/>
    <w:unhideWhenUsed/>
    <w:rsid w:val="00151F3B"/>
    <w:rPr>
      <w:rFonts w:ascii="BatangChe" w:hAnsi="BatangChe"/>
      <w:sz w:val="20"/>
      <w:szCs w:val="20"/>
      <w:lang w:val="en-AU"/>
    </w:rPr>
  </w:style>
  <w:style w:type="character" w:customStyle="1" w:styleId="FootnoteTextChar1">
    <w:name w:val="Footnote Text Char1"/>
    <w:basedOn w:val="DefaultParagraphFont"/>
    <w:rsid w:val="00151F3B"/>
    <w:rPr>
      <w:rFonts w:eastAsia="BatangChe"/>
    </w:rPr>
  </w:style>
  <w:style w:type="paragraph" w:styleId="ListParagraph">
    <w:name w:val="List Paragraph"/>
    <w:basedOn w:val="Normal"/>
    <w:link w:val="ListParagraphChar"/>
    <w:uiPriority w:val="34"/>
    <w:qFormat/>
    <w:rsid w:val="00151F3B"/>
    <w:pPr>
      <w:ind w:firstLineChars="200" w:firstLine="420"/>
    </w:pPr>
    <w:rPr>
      <w:lang w:val="en-AU"/>
    </w:rPr>
  </w:style>
  <w:style w:type="character" w:customStyle="1" w:styleId="enumlev1Char">
    <w:name w:val="enumlev1 Char"/>
    <w:link w:val="enumlev1"/>
    <w:uiPriority w:val="99"/>
    <w:locked/>
    <w:rsid w:val="00151F3B"/>
    <w:rPr>
      <w:rFonts w:eastAsia="Times New Roman"/>
      <w:sz w:val="24"/>
      <w:lang w:val="en-GB"/>
    </w:rPr>
  </w:style>
  <w:style w:type="paragraph" w:customStyle="1" w:styleId="enumlev1">
    <w:name w:val="enumlev1"/>
    <w:basedOn w:val="Normal"/>
    <w:link w:val="enumlev1Char"/>
    <w:uiPriority w:val="99"/>
    <w:rsid w:val="00151F3B"/>
    <w:pPr>
      <w:tabs>
        <w:tab w:val="left" w:pos="1134"/>
        <w:tab w:val="left" w:pos="1871"/>
        <w:tab w:val="left" w:pos="2608"/>
        <w:tab w:val="left" w:pos="3345"/>
      </w:tabs>
      <w:overflowPunct w:val="0"/>
      <w:autoSpaceDE w:val="0"/>
      <w:autoSpaceDN w:val="0"/>
      <w:adjustRightInd w:val="0"/>
      <w:spacing w:before="80"/>
      <w:ind w:left="1134" w:hanging="1134"/>
    </w:pPr>
    <w:rPr>
      <w:rFonts w:eastAsia="Times New Roman"/>
      <w:szCs w:val="20"/>
      <w:lang w:val="en-GB"/>
    </w:rPr>
  </w:style>
  <w:style w:type="paragraph" w:customStyle="1" w:styleId="Figuretitle">
    <w:name w:val="Figure_title"/>
    <w:basedOn w:val="Normal"/>
    <w:next w:val="Normal"/>
    <w:rsid w:val="00151F3B"/>
    <w:pPr>
      <w:keepNext/>
      <w:keepLines/>
      <w:tabs>
        <w:tab w:val="left" w:pos="1134"/>
        <w:tab w:val="left" w:pos="1871"/>
        <w:tab w:val="left" w:pos="2268"/>
      </w:tabs>
      <w:overflowPunct w:val="0"/>
      <w:autoSpaceDE w:val="0"/>
      <w:autoSpaceDN w:val="0"/>
      <w:adjustRightInd w:val="0"/>
      <w:spacing w:after="480"/>
      <w:jc w:val="center"/>
    </w:pPr>
    <w:rPr>
      <w:rFonts w:ascii="Times New Roman Bold" w:eastAsia="Times New Roman" w:hAnsi="Times New Roman Bold"/>
      <w:b/>
      <w:sz w:val="20"/>
      <w:szCs w:val="20"/>
      <w:lang w:val="en-GB"/>
    </w:rPr>
  </w:style>
  <w:style w:type="paragraph" w:customStyle="1" w:styleId="Figure">
    <w:name w:val="Figure"/>
    <w:basedOn w:val="Normal"/>
    <w:next w:val="Figuretitle"/>
    <w:uiPriority w:val="99"/>
    <w:rsid w:val="00151F3B"/>
    <w:pPr>
      <w:keepNext/>
      <w:keepLines/>
      <w:tabs>
        <w:tab w:val="left" w:pos="1134"/>
        <w:tab w:val="left" w:pos="1871"/>
        <w:tab w:val="left" w:pos="2268"/>
      </w:tabs>
      <w:overflowPunct w:val="0"/>
      <w:autoSpaceDE w:val="0"/>
      <w:autoSpaceDN w:val="0"/>
      <w:adjustRightInd w:val="0"/>
      <w:spacing w:before="120"/>
      <w:jc w:val="center"/>
    </w:pPr>
    <w:rPr>
      <w:rFonts w:eastAsia="Times New Roman"/>
      <w:szCs w:val="20"/>
      <w:lang w:val="en-GB"/>
    </w:rPr>
  </w:style>
  <w:style w:type="character" w:customStyle="1" w:styleId="TabletextChar">
    <w:name w:val="Table_text Char"/>
    <w:link w:val="Tabletext"/>
    <w:locked/>
    <w:rsid w:val="00151F3B"/>
    <w:rPr>
      <w:lang w:val="en-GB"/>
    </w:rPr>
  </w:style>
  <w:style w:type="paragraph" w:customStyle="1" w:styleId="Tabletext">
    <w:name w:val="Table_text"/>
    <w:basedOn w:val="Normal"/>
    <w:link w:val="TabletextChar"/>
    <w:rsid w:val="00151F3B"/>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0"/>
      <w:lang w:val="en-GB"/>
    </w:rPr>
  </w:style>
  <w:style w:type="paragraph" w:customStyle="1" w:styleId="Reasons">
    <w:name w:val="Reasons"/>
    <w:basedOn w:val="Normal"/>
    <w:rsid w:val="00151F3B"/>
    <w:pPr>
      <w:tabs>
        <w:tab w:val="left" w:pos="1134"/>
        <w:tab w:val="left" w:pos="1588"/>
        <w:tab w:val="left" w:pos="1985"/>
      </w:tabs>
      <w:overflowPunct w:val="0"/>
      <w:autoSpaceDE w:val="0"/>
      <w:autoSpaceDN w:val="0"/>
      <w:adjustRightInd w:val="0"/>
      <w:spacing w:before="120"/>
    </w:pPr>
    <w:rPr>
      <w:rFonts w:eastAsia="Times New Roman"/>
      <w:szCs w:val="20"/>
      <w:lang w:val="en-GB"/>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
    <w:uiPriority w:val="99"/>
    <w:unhideWhenUsed/>
    <w:rsid w:val="00151F3B"/>
    <w:rPr>
      <w:position w:val="6"/>
      <w:sz w:val="16"/>
    </w:rPr>
  </w:style>
  <w:style w:type="character" w:customStyle="1" w:styleId="Heading2Char">
    <w:name w:val="Heading 2 Char"/>
    <w:basedOn w:val="DefaultParagraphFont"/>
    <w:link w:val="Heading2"/>
    <w:semiHidden/>
    <w:rsid w:val="00BD2BA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4B51ED"/>
    <w:rPr>
      <w:rFonts w:eastAsia="BatangChe"/>
      <w:sz w:val="24"/>
      <w:szCs w:val="24"/>
    </w:rPr>
  </w:style>
  <w:style w:type="character" w:customStyle="1" w:styleId="ListParagraphChar">
    <w:name w:val="List Paragraph Char"/>
    <w:link w:val="ListParagraph"/>
    <w:uiPriority w:val="34"/>
    <w:locked/>
    <w:rsid w:val="006D2F07"/>
    <w:rPr>
      <w:rFonts w:eastAsia="BatangChe"/>
      <w:sz w:val="24"/>
      <w:szCs w:val="24"/>
      <w:lang w:val="en-AU"/>
    </w:rPr>
  </w:style>
  <w:style w:type="character" w:styleId="FollowedHyperlink">
    <w:name w:val="FollowedHyperlink"/>
    <w:basedOn w:val="DefaultParagraphFont"/>
    <w:rsid w:val="00D14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97100">
      <w:bodyDiv w:val="1"/>
      <w:marLeft w:val="0"/>
      <w:marRight w:val="0"/>
      <w:marTop w:val="0"/>
      <w:marBottom w:val="0"/>
      <w:divBdr>
        <w:top w:val="none" w:sz="0" w:space="0" w:color="auto"/>
        <w:left w:val="none" w:sz="0" w:space="0" w:color="auto"/>
        <w:bottom w:val="none" w:sz="0" w:space="0" w:color="auto"/>
        <w:right w:val="none" w:sz="0" w:space="0" w:color="auto"/>
      </w:divBdr>
      <w:divsChild>
        <w:div w:id="2099597828">
          <w:marLeft w:val="0"/>
          <w:marRight w:val="0"/>
          <w:marTop w:val="0"/>
          <w:marBottom w:val="0"/>
          <w:divBdr>
            <w:top w:val="none" w:sz="0" w:space="0" w:color="auto"/>
            <w:left w:val="none" w:sz="0" w:space="0" w:color="auto"/>
            <w:bottom w:val="none" w:sz="0" w:space="0" w:color="auto"/>
            <w:right w:val="none" w:sz="0" w:space="0" w:color="auto"/>
          </w:divBdr>
        </w:div>
        <w:div w:id="342586238">
          <w:marLeft w:val="0"/>
          <w:marRight w:val="0"/>
          <w:marTop w:val="0"/>
          <w:marBottom w:val="0"/>
          <w:divBdr>
            <w:top w:val="none" w:sz="0" w:space="0" w:color="auto"/>
            <w:left w:val="none" w:sz="0" w:space="0" w:color="auto"/>
            <w:bottom w:val="none" w:sz="0" w:space="0" w:color="auto"/>
            <w:right w:val="none" w:sz="0" w:space="0" w:color="auto"/>
          </w:divBdr>
        </w:div>
        <w:div w:id="1626036726">
          <w:marLeft w:val="0"/>
          <w:marRight w:val="0"/>
          <w:marTop w:val="0"/>
          <w:marBottom w:val="0"/>
          <w:divBdr>
            <w:top w:val="none" w:sz="0" w:space="0" w:color="auto"/>
            <w:left w:val="none" w:sz="0" w:space="0" w:color="auto"/>
            <w:bottom w:val="none" w:sz="0" w:space="0" w:color="auto"/>
            <w:right w:val="none" w:sz="0" w:space="0" w:color="auto"/>
          </w:divBdr>
        </w:div>
        <w:div w:id="1215892915">
          <w:marLeft w:val="0"/>
          <w:marRight w:val="0"/>
          <w:marTop w:val="0"/>
          <w:marBottom w:val="0"/>
          <w:divBdr>
            <w:top w:val="none" w:sz="0" w:space="0" w:color="auto"/>
            <w:left w:val="none" w:sz="0" w:space="0" w:color="auto"/>
            <w:bottom w:val="none" w:sz="0" w:space="0" w:color="auto"/>
            <w:right w:val="none" w:sz="0" w:space="0" w:color="auto"/>
          </w:divBdr>
        </w:div>
        <w:div w:id="184025445">
          <w:marLeft w:val="0"/>
          <w:marRight w:val="0"/>
          <w:marTop w:val="0"/>
          <w:marBottom w:val="0"/>
          <w:divBdr>
            <w:top w:val="none" w:sz="0" w:space="0" w:color="auto"/>
            <w:left w:val="none" w:sz="0" w:space="0" w:color="auto"/>
            <w:bottom w:val="none" w:sz="0" w:space="0" w:color="auto"/>
            <w:right w:val="none" w:sz="0" w:space="0" w:color="auto"/>
          </w:divBdr>
        </w:div>
      </w:divsChild>
    </w:div>
    <w:div w:id="375281122">
      <w:bodyDiv w:val="1"/>
      <w:marLeft w:val="0"/>
      <w:marRight w:val="0"/>
      <w:marTop w:val="0"/>
      <w:marBottom w:val="0"/>
      <w:divBdr>
        <w:top w:val="none" w:sz="0" w:space="0" w:color="auto"/>
        <w:left w:val="none" w:sz="0" w:space="0" w:color="auto"/>
        <w:bottom w:val="none" w:sz="0" w:space="0" w:color="auto"/>
        <w:right w:val="none" w:sz="0" w:space="0" w:color="auto"/>
      </w:divBdr>
    </w:div>
    <w:div w:id="597443980">
      <w:bodyDiv w:val="1"/>
      <w:marLeft w:val="0"/>
      <w:marRight w:val="0"/>
      <w:marTop w:val="0"/>
      <w:marBottom w:val="0"/>
      <w:divBdr>
        <w:top w:val="none" w:sz="0" w:space="0" w:color="auto"/>
        <w:left w:val="none" w:sz="0" w:space="0" w:color="auto"/>
        <w:bottom w:val="none" w:sz="0" w:space="0" w:color="auto"/>
        <w:right w:val="none" w:sz="0" w:space="0" w:color="auto"/>
      </w:divBdr>
    </w:div>
    <w:div w:id="977227532">
      <w:bodyDiv w:val="1"/>
      <w:marLeft w:val="0"/>
      <w:marRight w:val="0"/>
      <w:marTop w:val="0"/>
      <w:marBottom w:val="0"/>
      <w:divBdr>
        <w:top w:val="none" w:sz="0" w:space="0" w:color="auto"/>
        <w:left w:val="none" w:sz="0" w:space="0" w:color="auto"/>
        <w:bottom w:val="none" w:sz="0" w:space="0" w:color="auto"/>
        <w:right w:val="none" w:sz="0" w:space="0" w:color="auto"/>
      </w:divBdr>
    </w:div>
    <w:div w:id="1404599309">
      <w:bodyDiv w:val="1"/>
      <w:marLeft w:val="0"/>
      <w:marRight w:val="0"/>
      <w:marTop w:val="0"/>
      <w:marBottom w:val="0"/>
      <w:divBdr>
        <w:top w:val="none" w:sz="0" w:space="0" w:color="auto"/>
        <w:left w:val="none" w:sz="0" w:space="0" w:color="auto"/>
        <w:bottom w:val="none" w:sz="0" w:space="0" w:color="auto"/>
        <w:right w:val="none" w:sz="0" w:space="0" w:color="auto"/>
      </w:divBdr>
    </w:div>
    <w:div w:id="21255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2004-07-28T02:14:00Z</cp:lastPrinted>
  <dcterms:created xsi:type="dcterms:W3CDTF">2015-02-13T14:13:00Z</dcterms:created>
  <dcterms:modified xsi:type="dcterms:W3CDTF">2015-04-08T07:27:00Z</dcterms:modified>
</cp:coreProperties>
</file>