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A07D8D">
        <w:rPr>
          <w:rFonts w:ascii="Times New Roman" w:hAnsi="Times New Roman" w:cs="Times New Roman"/>
          <w:b/>
          <w:bCs/>
          <w:sz w:val="24"/>
          <w:szCs w:val="24"/>
        </w:rPr>
        <w:t>F</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07D8D" w:rsidRPr="00A07D8D" w:rsidRDefault="00A07D8D" w:rsidP="00A07D8D">
      <w:pPr>
        <w:widowControl/>
        <w:wordWrap/>
        <w:autoSpaceDE/>
        <w:autoSpaceDN/>
        <w:spacing w:after="0" w:line="240" w:lineRule="auto"/>
        <w:jc w:val="left"/>
        <w:rPr>
          <w:rFonts w:ascii="Times New Roman" w:eastAsia="BatangChe" w:hAnsi="Times New Roman" w:cs="Times New Roman"/>
          <w:kern w:val="0"/>
          <w:sz w:val="24"/>
          <w:szCs w:val="24"/>
          <w:highlight w:val="yellow"/>
          <w:lang w:val="en-NZ" w:eastAsia="en-US"/>
        </w:rPr>
      </w:pPr>
      <w:r w:rsidRPr="00A07D8D">
        <w:rPr>
          <w:rFonts w:ascii="Times New Roman" w:eastAsia="BatangChe" w:hAnsi="Times New Roman" w:cs="Times New Roman"/>
          <w:kern w:val="0"/>
          <w:sz w:val="24"/>
          <w:szCs w:val="24"/>
          <w:lang w:eastAsia="en-US"/>
        </w:rPr>
        <w:t>Issue F – Measures to facilitate entering new assignments into the RR Appendix 30B List</w:t>
      </w:r>
    </w:p>
    <w:p w:rsidR="00C17A72" w:rsidRPr="006231C8" w:rsidRDefault="00C17A72" w:rsidP="00C17A72">
      <w:pPr>
        <w:pStyle w:val="ListParagraph"/>
        <w:numPr>
          <w:ilvl w:val="0"/>
          <w:numId w:val="1"/>
        </w:numPr>
        <w:ind w:leftChars="0" w:left="360"/>
        <w:rPr>
          <w:rFonts w:ascii="Times New Roman" w:hAnsi="Times New Roman" w:cs="Times New Roman"/>
          <w:b/>
          <w:bCs/>
          <w:sz w:val="24"/>
          <w:szCs w:val="24"/>
        </w:rPr>
      </w:pPr>
      <w:r w:rsidRPr="006231C8">
        <w:rPr>
          <w:rFonts w:ascii="Times New Roman" w:hAnsi="Times New Roman" w:cs="Times New Roman"/>
          <w:b/>
          <w:bCs/>
          <w:sz w:val="24"/>
          <w:szCs w:val="24"/>
        </w:rPr>
        <w:t>APT Common Proposals and APT Views for WRC-19 (which has been submitted to WRC-19)</w:t>
      </w:r>
    </w:p>
    <w:p w:rsidR="00A07D8D" w:rsidRPr="00A07D8D" w:rsidRDefault="00A07D8D" w:rsidP="00A07D8D">
      <w:pPr>
        <w:rPr>
          <w:rFonts w:ascii="Times New Roman" w:hAnsi="Times New Roman" w:cs="Times New Roman"/>
          <w:sz w:val="24"/>
          <w:szCs w:val="24"/>
        </w:rPr>
      </w:pPr>
      <w:r w:rsidRPr="00A07D8D">
        <w:rPr>
          <w:rFonts w:ascii="Times New Roman" w:hAnsi="Times New Roman" w:cs="Times New Roman"/>
          <w:sz w:val="24"/>
          <w:szCs w:val="24"/>
        </w:rPr>
        <w:t>APT Members support to further study the measures to facilitate entering new assignments into the RR Appendix 30B List.</w:t>
      </w:r>
    </w:p>
    <w:p w:rsidR="00C17A72" w:rsidRPr="00A07D8D" w:rsidRDefault="00A07D8D" w:rsidP="00A07D8D">
      <w:pPr>
        <w:rPr>
          <w:rFonts w:ascii="Times New Roman" w:hAnsi="Times New Roman" w:cs="Times New Roman"/>
          <w:sz w:val="24"/>
          <w:szCs w:val="24"/>
          <w:lang w:val="en-NZ"/>
        </w:rPr>
      </w:pPr>
      <w:r w:rsidRPr="00A07D8D">
        <w:rPr>
          <w:rFonts w:ascii="Times New Roman" w:hAnsi="Times New Roman" w:cs="Times New Roman"/>
          <w:sz w:val="24"/>
          <w:szCs w:val="24"/>
          <w:lang w:val="en-NZ"/>
        </w:rPr>
        <w:t>APT Members decided not to develop PACP on issue F.</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5"/>
        <w:gridCol w:w="1567"/>
        <w:gridCol w:w="1565"/>
        <w:gridCol w:w="1565"/>
        <w:gridCol w:w="1566"/>
        <w:gridCol w:w="1558"/>
      </w:tblGrid>
      <w:tr w:rsidR="00935C7B" w:rsidTr="00A85A65">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5420C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F3</w:t>
            </w:r>
          </w:p>
        </w:tc>
        <w:tc>
          <w:tcPr>
            <w:tcW w:w="1596" w:type="dxa"/>
          </w:tcPr>
          <w:p w:rsidR="00935C7B" w:rsidRPr="00A85A65" w:rsidRDefault="00957B72" w:rsidP="005420CC">
            <w:pPr>
              <w:rPr>
                <w:rFonts w:ascii="Times New Roman" w:hAnsi="Times New Roman" w:cs="Times New Roman"/>
                <w:sz w:val="22"/>
              </w:rPr>
            </w:pPr>
            <w:r>
              <w:rPr>
                <w:rFonts w:ascii="Times New Roman" w:hAnsi="Times New Roman" w:cs="Times New Roman"/>
                <w:sz w:val="22"/>
                <w:lang w:bidi="fa-IR"/>
              </w:rPr>
              <w:t>No PACP</w:t>
            </w:r>
          </w:p>
        </w:t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F1</w:t>
            </w:r>
          </w:p>
        </w:t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F1</w:t>
            </w:r>
          </w:p>
        </w:t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F1</w:t>
            </w:r>
          </w:p>
        </w:tc>
        <w:tc>
          <w:tcPr>
            <w:tcW w:w="1596" w:type="dxa"/>
          </w:tcPr>
          <w:p w:rsidR="00935C7B" w:rsidRPr="00A85A65" w:rsidRDefault="004746B6" w:rsidP="00A85A65">
            <w:pPr>
              <w:rPr>
                <w:rFonts w:ascii="Times New Roman" w:hAnsi="Times New Roman" w:cs="Times New Roman"/>
                <w:sz w:val="22"/>
              </w:rPr>
            </w:pPr>
            <w:r>
              <w:rPr>
                <w:rFonts w:ascii="Times New Roman" w:hAnsi="Times New Roman" w:cs="Times New Roman"/>
                <w:sz w:val="22"/>
                <w:lang w:bidi="fa-IR"/>
              </w:rPr>
              <w:t>No PACP</w:t>
            </w:r>
          </w:p>
        </w:tc>
      </w:tr>
    </w:tbl>
    <w:p w:rsidR="00935C7B" w:rsidRDefault="00935C7B" w:rsidP="00935C7B">
      <w:pPr>
        <w:rPr>
          <w:rFonts w:ascii="Times New Roman" w:hAnsi="Times New Roman" w:cs="Times New Roman"/>
          <w:b/>
          <w:bCs/>
          <w:sz w:val="24"/>
          <w:szCs w:val="24"/>
        </w:rPr>
      </w:pPr>
    </w:p>
    <w:p w:rsidR="004746B6" w:rsidRPr="008E5FB9" w:rsidRDefault="004746B6" w:rsidP="00935C7B">
      <w:pPr>
        <w:rPr>
          <w:rFonts w:ascii="Times New Roman" w:hAnsi="Times New Roman" w:cs="Times New Roman"/>
          <w:bCs/>
          <w:sz w:val="24"/>
          <w:szCs w:val="24"/>
        </w:rPr>
      </w:pPr>
      <w:r w:rsidRPr="008E5FB9">
        <w:rPr>
          <w:rFonts w:ascii="Times New Roman" w:hAnsi="Times New Roman" w:cs="Times New Roman"/>
          <w:bCs/>
          <w:sz w:val="24"/>
          <w:szCs w:val="24"/>
        </w:rPr>
        <w:t>Indonesia, Singapore, Samoa</w:t>
      </w:r>
      <w:r w:rsidR="008E5FB9" w:rsidRPr="008E5FB9">
        <w:rPr>
          <w:rFonts w:ascii="Times New Roman" w:hAnsi="Times New Roman" w:cs="Times New Roman"/>
          <w:bCs/>
          <w:sz w:val="24"/>
          <w:szCs w:val="24"/>
        </w:rPr>
        <w:t xml:space="preserve">, Canada and </w:t>
      </w:r>
      <w:proofErr w:type="gramStart"/>
      <w:r w:rsidR="008E5FB9" w:rsidRPr="008E5FB9">
        <w:rPr>
          <w:rFonts w:ascii="Times New Roman" w:hAnsi="Times New Roman" w:cs="Times New Roman"/>
          <w:bCs/>
          <w:sz w:val="24"/>
          <w:szCs w:val="24"/>
        </w:rPr>
        <w:t>US</w:t>
      </w:r>
      <w:proofErr w:type="gramEnd"/>
      <w:r w:rsidRPr="008E5FB9">
        <w:rPr>
          <w:rFonts w:ascii="Times New Roman" w:hAnsi="Times New Roman" w:cs="Times New Roman"/>
          <w:bCs/>
          <w:sz w:val="24"/>
          <w:szCs w:val="24"/>
        </w:rPr>
        <w:t xml:space="preserve"> support F1</w:t>
      </w:r>
    </w:p>
    <w:p w:rsidR="004746B6" w:rsidRPr="008E5FB9" w:rsidRDefault="004746B6" w:rsidP="00935C7B">
      <w:pPr>
        <w:rPr>
          <w:rFonts w:ascii="Times New Roman" w:hAnsi="Times New Roman" w:cs="Times New Roman"/>
          <w:bCs/>
          <w:sz w:val="24"/>
          <w:szCs w:val="24"/>
        </w:rPr>
      </w:pPr>
      <w:r w:rsidRPr="008E5FB9">
        <w:rPr>
          <w:rFonts w:ascii="Times New Roman" w:hAnsi="Times New Roman" w:cs="Times New Roman"/>
          <w:bCs/>
          <w:sz w:val="24"/>
          <w:szCs w:val="24"/>
        </w:rPr>
        <w:t>Viet Nam support F4.</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C2336E" w:rsidRPr="00C2336E" w:rsidRDefault="0094584E"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sz w:val="24"/>
          <w:szCs w:val="24"/>
        </w:rPr>
      </w:pPr>
      <w:r w:rsidRPr="00C2336E">
        <w:rPr>
          <w:rFonts w:ascii="Times New Roman" w:eastAsia="Times New Roman" w:hAnsi="Times New Roman" w:cs="Times New Roman"/>
          <w:kern w:val="0"/>
          <w:sz w:val="24"/>
          <w:szCs w:val="24"/>
          <w:lang w:eastAsia="en-US"/>
        </w:rPr>
        <w:t xml:space="preserve">The meeting discussed the text based on Method F1 and the ideal of F2 concerning to accepted </w:t>
      </w:r>
      <w:r w:rsidRPr="00C2336E">
        <w:rPr>
          <w:rFonts w:ascii="Times New Roman" w:hAnsi="Times New Roman" w:cs="Times New Roman"/>
          <w:sz w:val="24"/>
          <w:szCs w:val="24"/>
        </w:rPr>
        <w:t>single-entry carrier-to-interference have been reflected in the footnote</w:t>
      </w:r>
      <w:r w:rsidR="00C2336E" w:rsidRPr="00C2336E">
        <w:rPr>
          <w:rFonts w:ascii="Times New Roman" w:hAnsi="Times New Roman" w:cs="Times New Roman"/>
          <w:sz w:val="24"/>
          <w:szCs w:val="24"/>
        </w:rPr>
        <w:t xml:space="preserve">. </w:t>
      </w:r>
    </w:p>
    <w:p w:rsidR="00C2336E" w:rsidRPr="00C2336E" w:rsidRDefault="00C2336E"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sz w:val="24"/>
          <w:szCs w:val="24"/>
        </w:rPr>
      </w:pPr>
      <w:r w:rsidRPr="00C2336E">
        <w:rPr>
          <w:rFonts w:ascii="Times New Roman" w:hAnsi="Times New Roman" w:cs="Times New Roman"/>
          <w:sz w:val="24"/>
          <w:szCs w:val="24"/>
        </w:rPr>
        <w:t>The meeting now continues to discuss on the footnote to protect the assignment in the List.</w:t>
      </w:r>
    </w:p>
    <w:p w:rsidR="0094584E" w:rsidRPr="00C2336E" w:rsidRDefault="00C2336E"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C2336E">
        <w:rPr>
          <w:rFonts w:ascii="Times New Roman" w:hAnsi="Times New Roman" w:cs="Times New Roman"/>
          <w:color w:val="000000"/>
          <w:sz w:val="24"/>
          <w:szCs w:val="24"/>
        </w:rPr>
        <w:t>For frequency assignments recorded in the List before [22 November 2019/XX/YY/ZZ], the criteria 2.2 of this Annex 4 to Appendix 30B of the Radio Regulations is not applicable</w:t>
      </w:r>
      <w:r>
        <w:rPr>
          <w:rFonts w:ascii="Times New Roman" w:hAnsi="Times New Roman" w:cs="Times New Roman"/>
          <w:color w:val="000000"/>
          <w:sz w:val="24"/>
          <w:szCs w:val="24"/>
        </w:rPr>
        <w:t>.</w:t>
      </w:r>
      <w:r w:rsidR="0094584E" w:rsidRPr="00C2336E">
        <w:rPr>
          <w:rFonts w:ascii="Times New Roman" w:hAnsi="Times New Roman" w:cs="Times New Roman"/>
          <w:sz w:val="24"/>
          <w:szCs w:val="24"/>
        </w:rPr>
        <w:t xml:space="preserve"> </w:t>
      </w:r>
    </w:p>
    <w:p w:rsidR="005420CC" w:rsidRPr="00EB66D5" w:rsidRDefault="005420CC"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123A92" w:rsidRDefault="00C17A72" w:rsidP="00C17A72">
      <w:pPr>
        <w:pStyle w:val="ListParagraph"/>
        <w:numPr>
          <w:ilvl w:val="0"/>
          <w:numId w:val="1"/>
        </w:numPr>
        <w:ind w:leftChars="0" w:left="360"/>
        <w:rPr>
          <w:b/>
          <w:bCs/>
        </w:rPr>
      </w:pPr>
      <w:r w:rsidRPr="00123A92">
        <w:rPr>
          <w:rFonts w:ascii="Times New Roman" w:hAnsi="Times New Roman" w:cs="Times New Roman"/>
          <w:b/>
          <w:bCs/>
          <w:sz w:val="24"/>
          <w:szCs w:val="24"/>
        </w:rPr>
        <w:t>Issues which require discussion at APT Coordination Meetings and seek guidance thereafter</w:t>
      </w:r>
    </w:p>
    <w:p w:rsidR="00297C6F" w:rsidRDefault="00297C6F" w:rsidP="00297C6F">
      <w:pPr>
        <w:rPr>
          <w:rFonts w:ascii="Times New Roman" w:hAnsi="Times New Roman" w:cs="Times New Roman"/>
          <w:sz w:val="24"/>
          <w:szCs w:val="24"/>
        </w:rPr>
      </w:pPr>
      <w:proofErr w:type="gramStart"/>
      <w:r w:rsidRPr="00297C6F">
        <w:rPr>
          <w:rFonts w:ascii="Times New Roman" w:hAnsi="Times New Roman" w:cs="Times New Roman"/>
          <w:sz w:val="24"/>
          <w:szCs w:val="24"/>
        </w:rPr>
        <w:t>None.</w:t>
      </w:r>
      <w:proofErr w:type="gramEnd"/>
      <w:r w:rsidRPr="00297C6F">
        <w:rPr>
          <w:rFonts w:ascii="Times New Roman" w:hAnsi="Times New Roman" w:cs="Times New Roman"/>
          <w:sz w:val="24"/>
          <w:szCs w:val="24"/>
        </w:rPr>
        <w:t xml:space="preserve"> </w:t>
      </w:r>
    </w:p>
    <w:p w:rsidR="00810899" w:rsidRPr="00810899" w:rsidRDefault="00810899" w:rsidP="00297C6F">
      <w:pPr>
        <w:rPr>
          <w:rFonts w:ascii="Times New Roman" w:hAnsi="Times New Roman" w:cs="Times New Roman"/>
          <w:i/>
          <w:iCs/>
          <w:sz w:val="24"/>
          <w:szCs w:val="24"/>
        </w:rPr>
      </w:pPr>
      <w:r w:rsidRPr="00810899">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810899">
        <w:rPr>
          <w:rFonts w:ascii="Times New Roman" w:hAnsi="Times New Roman" w:cs="Times New Roman"/>
          <w:sz w:val="24"/>
          <w:szCs w:val="24"/>
        </w:rPr>
        <w:t>.</w:t>
      </w:r>
      <w:r w:rsidRPr="00810899">
        <w:rPr>
          <w:rFonts w:ascii="Times New Roman" w:hAnsi="Times New Roman" w:cs="Times New Roman"/>
          <w:i/>
          <w:iCs/>
          <w:sz w:val="24"/>
          <w:szCs w:val="24"/>
        </w:rPr>
        <w:t xml:space="preserve"> Coordinators can also organize coordination meetings on the respective agenda items whenever necessary.   </w:t>
      </w:r>
    </w:p>
    <w:p w:rsidR="002E407B" w:rsidRDefault="002E407B" w:rsidP="00810899"/>
    <w:sectPr w:rsidR="002E407B"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213FBF"/>
    <w:rsid w:val="00235A7F"/>
    <w:rsid w:val="00297C6F"/>
    <w:rsid w:val="002A1BA2"/>
    <w:rsid w:val="002E407B"/>
    <w:rsid w:val="00302287"/>
    <w:rsid w:val="003628DF"/>
    <w:rsid w:val="003713F5"/>
    <w:rsid w:val="003A7C93"/>
    <w:rsid w:val="004112F1"/>
    <w:rsid w:val="0042767D"/>
    <w:rsid w:val="004746B6"/>
    <w:rsid w:val="005420CC"/>
    <w:rsid w:val="005A57A5"/>
    <w:rsid w:val="006162F7"/>
    <w:rsid w:val="006231C8"/>
    <w:rsid w:val="00625550"/>
    <w:rsid w:val="0065088C"/>
    <w:rsid w:val="006E3574"/>
    <w:rsid w:val="0070387C"/>
    <w:rsid w:val="00741A29"/>
    <w:rsid w:val="007512DF"/>
    <w:rsid w:val="00810899"/>
    <w:rsid w:val="008B5ABB"/>
    <w:rsid w:val="008E5FB9"/>
    <w:rsid w:val="00922AD7"/>
    <w:rsid w:val="0093083E"/>
    <w:rsid w:val="00935C7B"/>
    <w:rsid w:val="0094584E"/>
    <w:rsid w:val="00957B72"/>
    <w:rsid w:val="00A07D8D"/>
    <w:rsid w:val="00A161FB"/>
    <w:rsid w:val="00A85A65"/>
    <w:rsid w:val="00B302BA"/>
    <w:rsid w:val="00BA5F0C"/>
    <w:rsid w:val="00C17A72"/>
    <w:rsid w:val="00C215A0"/>
    <w:rsid w:val="00C2336E"/>
    <w:rsid w:val="00C76150"/>
    <w:rsid w:val="00CC12BD"/>
    <w:rsid w:val="00D92C66"/>
    <w:rsid w:val="00DC27F9"/>
    <w:rsid w:val="00E07EB7"/>
    <w:rsid w:val="00EB66D5"/>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2</cp:revision>
  <dcterms:created xsi:type="dcterms:W3CDTF">2019-11-13T09:34:00Z</dcterms:created>
  <dcterms:modified xsi:type="dcterms:W3CDTF">2019-11-13T09:34:00Z</dcterms:modified>
</cp:coreProperties>
</file>