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5B6574">
        <w:rPr>
          <w:rFonts w:ascii="Times New Roman" w:hAnsi="Times New Roman" w:cs="Times New Roman"/>
          <w:sz w:val="24"/>
          <w:szCs w:val="24"/>
        </w:rPr>
        <w:t>Iraj Mokarrami</w:t>
      </w:r>
      <w:r w:rsidR="005B6574">
        <w:rPr>
          <w:rFonts w:ascii="Times New Roman" w:hAnsi="Times New Roman" w:cs="Times New Roman"/>
          <w:sz w:val="24"/>
          <w:szCs w:val="24"/>
        </w:rPr>
        <w:tab/>
      </w:r>
    </w:p>
    <w:p w:rsidR="005B6574" w:rsidRDefault="005B657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4D7CC0" w:rsidRPr="004D7CC0" w:rsidRDefault="004D7CC0" w:rsidP="00E87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87651">
        <w:rPr>
          <w:rFonts w:ascii="Times New Roman" w:hAnsi="Times New Roman" w:cs="Times New Roman"/>
          <w:sz w:val="24"/>
          <w:szCs w:val="24"/>
        </w:rPr>
        <w:t>01</w:t>
      </w:r>
      <w:r w:rsidR="00AE58B9">
        <w:rPr>
          <w:rFonts w:ascii="Times New Roman" w:hAnsi="Times New Roman" w:cs="Times New Roman"/>
          <w:sz w:val="24"/>
          <w:szCs w:val="24"/>
        </w:rPr>
        <w:t>/1</w:t>
      </w:r>
      <w:r w:rsidR="00E8765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E58B9">
        <w:rPr>
          <w:rFonts w:ascii="Times New Roman" w:hAnsi="Times New Roman" w:cs="Times New Roman"/>
          <w:sz w:val="24"/>
          <w:szCs w:val="24"/>
        </w:rPr>
        <w:t>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Agenda Item</w:t>
      </w:r>
      <w:r w:rsidR="00444AAF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7 issue A</w:t>
      </w:r>
    </w:p>
    <w:p w:rsidR="004D7CC0" w:rsidRPr="00444AAF" w:rsidRDefault="00444AAF" w:rsidP="004D7CC0">
      <w:pPr>
        <w:rPr>
          <w:rFonts w:ascii="Times New Roman" w:hAnsi="Times New Roman" w:cs="Times New Roman"/>
          <w:sz w:val="32"/>
          <w:szCs w:val="32"/>
        </w:rPr>
      </w:pPr>
      <w:r w:rsidRPr="00444AAF">
        <w:rPr>
          <w:rFonts w:ascii="Times New Roman" w:hAnsi="Times New Roman" w:cs="Times New Roman"/>
          <w:sz w:val="24"/>
          <w:szCs w:val="28"/>
        </w:rPr>
        <w:t>Bringing into use of frequency assignments to all non-GSO systems, and consideration of a milestone-based approach for the deployment of non-GSO systems in specific frequency bands and services</w:t>
      </w: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Common Proposals and 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Views for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(which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has been submitted to 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0394" w:rsidRDefault="00300394" w:rsidP="00300394">
      <w:pPr>
        <w:ind w:left="284"/>
      </w:pPr>
    </w:p>
    <w:p w:rsidR="00762FB1" w:rsidRDefault="00762FB1" w:rsidP="00762FB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BIU definition: </w:t>
      </w:r>
    </w:p>
    <w:p w:rsidR="00D516A4" w:rsidRPr="00787117" w:rsidRDefault="00762FB1" w:rsidP="00762FB1">
      <w:pPr>
        <w:rPr>
          <w:b/>
          <w:bCs/>
          <w:u w:val="single"/>
        </w:rPr>
      </w:pPr>
      <w:r w:rsidRPr="00762FB1">
        <w:rPr>
          <w:b/>
          <w:bCs/>
        </w:rPr>
        <w:t>C</w:t>
      </w:r>
      <w:r w:rsidR="00D516A4">
        <w:rPr>
          <w:rFonts w:eastAsia="Times New Roman"/>
        </w:rPr>
        <w:t xml:space="preserve">ontinuous period of 90 days for frequency assignments of the FSS/MSS/BSS, and no fixed period for frequency assignments other than the FSS/MSS/BSS.) </w:t>
      </w:r>
    </w:p>
    <w:p w:rsidR="00D516A4" w:rsidRDefault="00D516A4" w:rsidP="00D516A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With respect to the regulatory provision No. </w:t>
      </w:r>
      <w:r>
        <w:rPr>
          <w:rFonts w:eastAsia="MS Mincho"/>
          <w:b/>
          <w:bCs/>
          <w:lang w:eastAsia="ja-JP"/>
        </w:rPr>
        <w:t>11.44C</w:t>
      </w:r>
      <w:r>
        <w:rPr>
          <w:rFonts w:eastAsia="MS Mincho"/>
          <w:lang w:eastAsia="ja-JP"/>
        </w:rPr>
        <w:t xml:space="preserve"> of the BIU, notified orbital planes, APT Members could support Option 2, as outlined in the CPM19-2 report.</w:t>
      </w:r>
    </w:p>
    <w:p w:rsidR="00D516A4" w:rsidRPr="00D516A4" w:rsidRDefault="00D516A4" w:rsidP="00762FB1">
      <w:pPr>
        <w:ind w:left="284" w:hanging="284"/>
        <w:jc w:val="left"/>
        <w:rPr>
          <w:b/>
          <w:bCs/>
          <w:u w:val="single"/>
        </w:rPr>
      </w:pPr>
      <w:r w:rsidRPr="00D516A4">
        <w:rPr>
          <w:b/>
          <w:bCs/>
          <w:u w:val="single"/>
        </w:rPr>
        <w:t>Milestone based approach:</w:t>
      </w:r>
    </w:p>
    <w:p w:rsidR="00D516A4" w:rsidRDefault="00D516A4" w:rsidP="00300394">
      <w:pPr>
        <w:ind w:left="284"/>
      </w:pPr>
    </w:p>
    <w:tbl>
      <w:tblPr>
        <w:tblStyle w:val="ECCTable-redheader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3"/>
        <w:gridCol w:w="2104"/>
      </w:tblGrid>
      <w:tr w:rsidR="00300394" w:rsidTr="006A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 timing</w:t>
            </w:r>
          </w:p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(Number of years after the end of the seven-year regulatory period or after 1st January 2021, whichever falls later)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Minimum required % of satellites deployed to meet the milestone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</w:t>
            </w:r>
            <w:r>
              <w:rPr>
                <w:vertAlign w:val="superscript"/>
                <w:lang w:eastAsia="de-DE" w:bidi="fa-IR"/>
              </w:rPr>
              <w:t>st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 to 3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</w:t>
            </w:r>
            <w:r>
              <w:rPr>
                <w:vertAlign w:val="superscript"/>
                <w:lang w:eastAsia="de-DE" w:bidi="fa-IR"/>
              </w:rPr>
              <w:t>nd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4 to 5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30-50%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</w:t>
            </w:r>
            <w:r>
              <w:rPr>
                <w:vertAlign w:val="superscript"/>
                <w:lang w:eastAsia="de-DE" w:bidi="fa-IR"/>
              </w:rPr>
              <w:t>rd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7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90-95% /100%</w:t>
            </w:r>
          </w:p>
        </w:tc>
      </w:tr>
    </w:tbl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787117" w:rsidRDefault="00787117" w:rsidP="00787117">
      <w:pPr>
        <w:rPr>
          <w:rFonts w:eastAsia="Times New Roman"/>
        </w:rPr>
      </w:pPr>
      <w:r>
        <w:rPr>
          <w:b/>
          <w:bCs/>
          <w:u w:val="single"/>
        </w:rPr>
        <w:t>Transitional Measures :</w:t>
      </w:r>
      <w:r>
        <w:rPr>
          <w:rFonts w:eastAsia="Times New Roman"/>
        </w:rPr>
        <w:t xml:space="preserve"> Option1(the commencement date of the milestone process: 1 Jan. 2021)</w:t>
      </w:r>
    </w:p>
    <w:p w:rsidR="00787117" w:rsidRDefault="00787117" w:rsidP="00787117">
      <w:pPr>
        <w:rPr>
          <w:b/>
          <w:bCs/>
          <w:u w:val="single"/>
        </w:rPr>
      </w:pPr>
      <w:r>
        <w:rPr>
          <w:b/>
          <w:bCs/>
          <w:u w:val="single"/>
        </w:rPr>
        <w:t>Frequency bands and services for application of the milestone-based approach</w:t>
      </w:r>
    </w:p>
    <w:p w:rsidR="00787117" w:rsidRDefault="00787117" w:rsidP="00787117">
      <w:r>
        <w:rPr>
          <w:rFonts w:eastAsia="Times New Roman"/>
        </w:rPr>
        <w:t>APT Members</w:t>
      </w:r>
      <w:r>
        <w:t xml:space="preserve"> support application of the milestone-based approach to non-GSO systems operating in the FSS, BSS and MSS, but not those operating in the RNSS.</w:t>
      </w:r>
    </w:p>
    <w:p w:rsidR="00787117" w:rsidRDefault="00787117" w:rsidP="00787117">
      <w:pPr>
        <w:rPr>
          <w:lang w:eastAsia="ja-JP"/>
        </w:rPr>
      </w:pPr>
      <w:r>
        <w:rPr>
          <w:lang w:eastAsia="ja-JP"/>
        </w:rPr>
        <w:t xml:space="preserve">APT Members do not object, at this stage to the application of the approach to the following </w:t>
      </w:r>
      <w:r>
        <w:rPr>
          <w:lang w:eastAsia="ja-JP"/>
        </w:rPr>
        <w:lastRenderedPageBreak/>
        <w:t>MSS frequency bands for which no consensus was reached and listed in the CPM Report: 137-137.025 MHz, 137.025-137.175 MHz, 137.175-137.825 MHz, 137.825-138 MHz, 148-149.9 MHz, 149.9-150.05 MHz (This band 149.9-150.05 MHz appears to have been mistakenly listed in the CPM Report as 137-138 MHz),</w:t>
      </w:r>
      <w:r>
        <w:t xml:space="preserve"> 399.9-400.05 MHz, and 400.15-401MHz</w:t>
      </w:r>
      <w:r>
        <w:rPr>
          <w:lang w:eastAsia="ja-JP"/>
        </w:rPr>
        <w:t>.</w:t>
      </w:r>
    </w:p>
    <w:p w:rsidR="00787117" w:rsidRDefault="00787117" w:rsidP="00787117">
      <w:pPr>
        <w:spacing w:after="120"/>
        <w:jc w:val="left"/>
      </w:pPr>
      <w:r>
        <w:rPr>
          <w:b/>
          <w:bCs/>
          <w:u w:val="single"/>
        </w:rPr>
        <w:t>Milestone based approach: consequences of non submission of milestone information (resolves 11 to 11ter)</w:t>
      </w:r>
      <w:r>
        <w:rPr>
          <w:b/>
          <w:bCs/>
          <w:u w:val="single"/>
          <w:lang w:eastAsia="en-US"/>
        </w:rPr>
        <w:t xml:space="preserve"> :</w:t>
      </w:r>
      <w:r>
        <w:t xml:space="preserve"> APT Members expressed preference for Option 1.</w:t>
      </w:r>
    </w:p>
    <w:p w:rsidR="00787117" w:rsidRDefault="00787117" w:rsidP="00787117">
      <w:pPr>
        <w:spacing w:after="120"/>
      </w:pPr>
      <w:r>
        <w:rPr>
          <w:rStyle w:val="Strong"/>
          <w:u w:val="single"/>
        </w:rPr>
        <w:t>Milestone based approach – reuse of spacecraft to BIU or count towards milestones of other systems (</w:t>
      </w:r>
      <w:r>
        <w:rPr>
          <w:rStyle w:val="Strong"/>
          <w:i/>
          <w:u w:val="single"/>
        </w:rPr>
        <w:t>resolves</w:t>
      </w:r>
      <w:r>
        <w:rPr>
          <w:rStyle w:val="Strong"/>
          <w:u w:val="single"/>
        </w:rPr>
        <w:t xml:space="preserve"> 12) :</w:t>
      </w:r>
      <w:r>
        <w:t xml:space="preserve"> APT Members expressed slight preference for Alternative 2(NOC) </w:t>
      </w:r>
    </w:p>
    <w:p w:rsidR="00787117" w:rsidRPr="00787117" w:rsidRDefault="00787117" w:rsidP="00787117">
      <w:pPr>
        <w:rPr>
          <w:rStyle w:val="Strong"/>
          <w:b w:val="0"/>
          <w:bCs w:val="0"/>
        </w:rPr>
      </w:pPr>
      <w:r>
        <w:rPr>
          <w:rStyle w:val="Strong"/>
          <w:u w:val="single"/>
        </w:rPr>
        <w:t xml:space="preserve">tolerances in orbital characteristic values : </w:t>
      </w:r>
      <w:r w:rsidRPr="00787117">
        <w:rPr>
          <w:rStyle w:val="Strong"/>
          <w:b w:val="0"/>
          <w:bCs w:val="0"/>
        </w:rPr>
        <w:t>further studies needed</w:t>
      </w:r>
    </w:p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123A92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Topics proposed by other regional Groups or ITU Members which are </w:t>
      </w:r>
      <w:r w:rsidR="008742F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not included in </w:t>
      </w:r>
      <w:r w:rsidR="00C82B13" w:rsidRPr="00123A92">
        <w:rPr>
          <w:rFonts w:ascii="Times New Roman" w:hAnsi="Times New Roman" w:cs="Times New Roman"/>
          <w:b/>
          <w:bCs/>
          <w:sz w:val="24"/>
          <w:szCs w:val="24"/>
        </w:rPr>
        <w:t>no. 2 above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144"/>
        <w:gridCol w:w="1164"/>
        <w:gridCol w:w="1286"/>
        <w:gridCol w:w="1208"/>
        <w:gridCol w:w="1400"/>
      </w:tblGrid>
      <w:tr w:rsidR="00D516A4" w:rsidRPr="00D516A4" w:rsidTr="00D516A4">
        <w:trPr>
          <w:jc w:val="center"/>
        </w:trPr>
        <w:tc>
          <w:tcPr>
            <w:tcW w:w="1122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14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16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286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208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365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516A4" w:rsidRPr="00D516A4" w:rsidTr="00D516A4">
        <w:trPr>
          <w:trHeight w:val="325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C</w:t>
            </w: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365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Arial"/>
                <w:b/>
                <w:bCs/>
              </w:rPr>
            </w:pPr>
            <w:r w:rsidRPr="00D516A4">
              <w:rPr>
                <w:rFonts w:ascii="Times New Roman" w:eastAsia="Times New Roman" w:hAnsi="Times New Roman" w:cs="B Nazanin"/>
                <w:b/>
                <w:bCs/>
                <w:szCs w:val="24"/>
                <w:lang w:bidi="fa-IR"/>
              </w:rPr>
              <w:t>BIU</w:t>
            </w:r>
          </w:p>
        </w:tc>
      </w:tr>
      <w:tr w:rsidR="00D516A4" w:rsidRPr="00D516A4" w:rsidTr="00D516A4">
        <w:trPr>
          <w:trHeight w:val="2272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 years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4 years 30%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7 years  90%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3 years  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5 years    50%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7 years    100%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2years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4years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30%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7years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100%</w:t>
            </w:r>
          </w:p>
        </w:tc>
        <w:tc>
          <w:tcPr>
            <w:tcW w:w="1286" w:type="dxa"/>
          </w:tcPr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support the principle of milestone based approach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 F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Milestone based approach</w:t>
            </w:r>
          </w:p>
        </w:tc>
      </w:tr>
      <w:tr w:rsidR="00D516A4" w:rsidRPr="00D516A4" w:rsidTr="00D516A4">
        <w:trPr>
          <w:trHeight w:val="908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 Jan 2021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Date: 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TBD</w:t>
            </w: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</w:tc>
        <w:tc>
          <w:tcPr>
            <w:tcW w:w="1365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Transitional measure</w:t>
            </w:r>
          </w:p>
        </w:tc>
      </w:tr>
    </w:tbl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Progress of discussion during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WRC-19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on the Agenda Item</w:t>
      </w:r>
    </w:p>
    <w:p w:rsidR="00BF585F" w:rsidRPr="00E36EB3" w:rsidRDefault="00BF585F" w:rsidP="00A50A5C">
      <w:pPr>
        <w:rPr>
          <w:rFonts w:eastAsia="Times New Roman"/>
        </w:rPr>
      </w:pPr>
      <w:r w:rsidRPr="00E36EB3">
        <w:rPr>
          <w:rFonts w:eastAsia="Times New Roman"/>
        </w:rPr>
        <w:t xml:space="preserve">In the second of Sub-working Group on this issue, Mr. Conner had prepared a compilation document and started his meeting with BIU key element under this issue and </w:t>
      </w:r>
      <w:r w:rsidR="00FB4B51">
        <w:rPr>
          <w:rFonts w:eastAsia="Times New Roman"/>
        </w:rPr>
        <w:t>proceed</w:t>
      </w:r>
      <w:r w:rsidRPr="00E36EB3">
        <w:rPr>
          <w:rFonts w:eastAsia="Times New Roman"/>
        </w:rPr>
        <w:t xml:space="preserve"> with </w:t>
      </w:r>
      <w:r w:rsidR="00A50A5C">
        <w:rPr>
          <w:rFonts w:eastAsia="Times New Roman"/>
        </w:rPr>
        <w:t xml:space="preserve">consideration of the relevant </w:t>
      </w:r>
      <w:r w:rsidRPr="00E36EB3">
        <w:rPr>
          <w:rFonts w:eastAsia="Times New Roman"/>
        </w:rPr>
        <w:t xml:space="preserve">Regulatory texts for </w:t>
      </w:r>
      <w:r w:rsidR="00217F87" w:rsidRPr="00E36EB3">
        <w:rPr>
          <w:rFonts w:eastAsia="Times New Roman"/>
        </w:rPr>
        <w:t>that element</w:t>
      </w:r>
      <w:r w:rsidRPr="00E36EB3">
        <w:rPr>
          <w:rFonts w:eastAsia="Times New Roman"/>
        </w:rPr>
        <w:t xml:space="preserve">, such as the provisions </w:t>
      </w:r>
      <w:r w:rsidR="00217F87" w:rsidRPr="00E36EB3">
        <w:rPr>
          <w:rFonts w:eastAsia="Times New Roman"/>
        </w:rPr>
        <w:t>11.44,</w:t>
      </w:r>
      <w:r w:rsidRPr="00E36EB3">
        <w:rPr>
          <w:rFonts w:eastAsia="Times New Roman"/>
        </w:rPr>
        <w:t xml:space="preserve"> 11.44.2 and 11.44.3</w:t>
      </w:r>
      <w:r w:rsidR="00031D4D">
        <w:rPr>
          <w:rFonts w:eastAsia="Times New Roman"/>
        </w:rPr>
        <w:t xml:space="preserve"> and etc</w:t>
      </w:r>
      <w:r w:rsidRPr="00E36EB3">
        <w:rPr>
          <w:rFonts w:eastAsia="Times New Roman"/>
        </w:rPr>
        <w:t>.</w:t>
      </w:r>
      <w:r w:rsidR="00B85CAA">
        <w:rPr>
          <w:rFonts w:eastAsia="Times New Roman"/>
        </w:rPr>
        <w:t xml:space="preserve"> Good progress was made</w:t>
      </w:r>
      <w:r w:rsidR="00FB4B51">
        <w:rPr>
          <w:rFonts w:eastAsia="Times New Roman"/>
        </w:rPr>
        <w:t xml:space="preserve"> but</w:t>
      </w:r>
      <w:r w:rsidR="00B85CAA">
        <w:rPr>
          <w:rFonts w:eastAsia="Times New Roman"/>
        </w:rPr>
        <w:t xml:space="preserve"> </w:t>
      </w:r>
      <w:r w:rsidR="00FB4B51">
        <w:rPr>
          <w:rFonts w:eastAsia="Times New Roman"/>
        </w:rPr>
        <w:t>s</w:t>
      </w:r>
      <w:r w:rsidR="00B85CAA">
        <w:rPr>
          <w:rFonts w:eastAsia="Times New Roman"/>
        </w:rPr>
        <w:t xml:space="preserve">till consideration on the rest of provisions is going. </w:t>
      </w:r>
    </w:p>
    <w:p w:rsidR="00394F4B" w:rsidRPr="00BB6DD1" w:rsidRDefault="00732F70" w:rsidP="00BB6DD1">
      <w:pPr>
        <w:rPr>
          <w:rFonts w:eastAsia="Times New Roman"/>
        </w:rPr>
      </w:pPr>
      <w:r>
        <w:rPr>
          <w:rFonts w:eastAsia="Times New Roman"/>
        </w:rPr>
        <w:t xml:space="preserve">It worth to mention that </w:t>
      </w:r>
      <w:r w:rsidR="00394F4B" w:rsidRPr="00E36EB3">
        <w:rPr>
          <w:rFonts w:eastAsia="Times New Roman"/>
        </w:rPr>
        <w:t xml:space="preserve">for the bringing into use of the frequency assignments of a non-GSO system, Majority </w:t>
      </w:r>
      <w:r w:rsidR="00217F87" w:rsidRPr="00E36EB3">
        <w:rPr>
          <w:rFonts w:eastAsia="Times New Roman"/>
        </w:rPr>
        <w:t>R</w:t>
      </w:r>
      <w:r w:rsidR="00394F4B" w:rsidRPr="00E36EB3">
        <w:rPr>
          <w:rFonts w:eastAsia="Times New Roman"/>
        </w:rPr>
        <w:t>egional</w:t>
      </w:r>
      <w:r w:rsidR="00E36EB3">
        <w:rPr>
          <w:rFonts w:eastAsia="Times New Roman"/>
        </w:rPr>
        <w:t xml:space="preserve"> </w:t>
      </w:r>
      <w:r w:rsidR="00E36EB3" w:rsidRPr="00E36EB3">
        <w:rPr>
          <w:rFonts w:eastAsia="Times New Roman"/>
        </w:rPr>
        <w:t>organizations</w:t>
      </w:r>
      <w:r w:rsidR="00394F4B" w:rsidRPr="00E36EB3">
        <w:rPr>
          <w:rFonts w:eastAsia="Times New Roman"/>
        </w:rPr>
        <w:t xml:space="preserve"> support a fixed continuous 90 days for deployment of the </w:t>
      </w:r>
      <w:r w:rsidR="00031D4D">
        <w:rPr>
          <w:rFonts w:eastAsia="Times New Roman"/>
        </w:rPr>
        <w:lastRenderedPageBreak/>
        <w:t xml:space="preserve">non-GSO </w:t>
      </w:r>
      <w:r w:rsidR="00394F4B" w:rsidRPr="00E36EB3">
        <w:rPr>
          <w:rFonts w:eastAsia="Times New Roman"/>
        </w:rPr>
        <w:t>satellite</w:t>
      </w:r>
      <w:r w:rsidR="00031D4D">
        <w:rPr>
          <w:rFonts w:eastAsia="Times New Roman"/>
        </w:rPr>
        <w:t>s</w:t>
      </w:r>
      <w:r w:rsidR="00394F4B" w:rsidRPr="00E36EB3">
        <w:rPr>
          <w:rFonts w:eastAsia="Times New Roman"/>
        </w:rPr>
        <w:t xml:space="preserve"> in orbit,</w:t>
      </w:r>
      <w:r w:rsidR="0033187A" w:rsidRPr="00E36EB3">
        <w:rPr>
          <w:rFonts w:eastAsia="Times New Roman"/>
        </w:rPr>
        <w:t xml:space="preserve"> </w:t>
      </w:r>
      <w:r w:rsidR="00394F4B" w:rsidRPr="00E36EB3">
        <w:rPr>
          <w:rFonts w:eastAsia="Times New Roman"/>
        </w:rPr>
        <w:t>but the RCC believe that the establishment of a fixed continuous period of deployment of the satellite</w:t>
      </w:r>
      <w:r w:rsidR="00AF6345">
        <w:rPr>
          <w:rFonts w:eastAsia="Times New Roman"/>
        </w:rPr>
        <w:t>s</w:t>
      </w:r>
      <w:r w:rsidR="00394F4B" w:rsidRPr="00E36EB3">
        <w:rPr>
          <w:rFonts w:eastAsia="Times New Roman"/>
        </w:rPr>
        <w:t xml:space="preserve"> in orbit is not required;</w:t>
      </w:r>
      <w:r w:rsidR="00DF678A">
        <w:rPr>
          <w:rFonts w:eastAsia="Times New Roman"/>
        </w:rPr>
        <w:t xml:space="preserve"> due to technical and economical observations.</w:t>
      </w:r>
      <w:r w:rsidR="00C4509F">
        <w:rPr>
          <w:rFonts w:eastAsia="Times New Roman"/>
        </w:rPr>
        <w:t xml:space="preserve"> </w:t>
      </w:r>
    </w:p>
    <w:p w:rsidR="002204EA" w:rsidRPr="002204EA" w:rsidRDefault="002204EA" w:rsidP="002204EA">
      <w:pPr>
        <w:pStyle w:val="ListParagraph"/>
        <w:ind w:leftChars="0"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742F3" w:rsidRPr="00123A92" w:rsidRDefault="008742F3" w:rsidP="00086F2C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Issues </w:t>
      </w:r>
      <w:r w:rsidR="000B598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which 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require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discussion at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AP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Coordination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>eeting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and seek guidance thereafter</w:t>
      </w:r>
    </w:p>
    <w:p w:rsidR="00C82B13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sectPr w:rsid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6" w:rsidRDefault="00FA4446" w:rsidP="00D1517A">
      <w:pPr>
        <w:spacing w:after="0" w:line="240" w:lineRule="auto"/>
      </w:pPr>
      <w:r>
        <w:separator/>
      </w:r>
    </w:p>
  </w:endnote>
  <w:endnote w:type="continuationSeparator" w:id="0">
    <w:p w:rsidR="00FA4446" w:rsidRDefault="00FA444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6" w:rsidRDefault="00FA4446" w:rsidP="00D1517A">
      <w:pPr>
        <w:spacing w:after="0" w:line="240" w:lineRule="auto"/>
      </w:pPr>
      <w:r>
        <w:separator/>
      </w:r>
    </w:p>
  </w:footnote>
  <w:footnote w:type="continuationSeparator" w:id="0">
    <w:p w:rsidR="00FA4446" w:rsidRDefault="00FA444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34"/>
    <w:rsid w:val="00031D4D"/>
    <w:rsid w:val="00086F2C"/>
    <w:rsid w:val="000B5983"/>
    <w:rsid w:val="00123A92"/>
    <w:rsid w:val="001A1F17"/>
    <w:rsid w:val="001E0789"/>
    <w:rsid w:val="00217F87"/>
    <w:rsid w:val="002204EA"/>
    <w:rsid w:val="00283D24"/>
    <w:rsid w:val="00300394"/>
    <w:rsid w:val="0033187A"/>
    <w:rsid w:val="003346ED"/>
    <w:rsid w:val="00394F4B"/>
    <w:rsid w:val="00444AAF"/>
    <w:rsid w:val="004848BC"/>
    <w:rsid w:val="0048595C"/>
    <w:rsid w:val="004A574B"/>
    <w:rsid w:val="004D7CC0"/>
    <w:rsid w:val="004E3070"/>
    <w:rsid w:val="0053182E"/>
    <w:rsid w:val="005755E6"/>
    <w:rsid w:val="005B6574"/>
    <w:rsid w:val="00674A84"/>
    <w:rsid w:val="00677357"/>
    <w:rsid w:val="00683E04"/>
    <w:rsid w:val="006A421C"/>
    <w:rsid w:val="00732F70"/>
    <w:rsid w:val="00762FB1"/>
    <w:rsid w:val="0077163C"/>
    <w:rsid w:val="0078169E"/>
    <w:rsid w:val="007843AE"/>
    <w:rsid w:val="00787117"/>
    <w:rsid w:val="008742F3"/>
    <w:rsid w:val="009B45ED"/>
    <w:rsid w:val="009E27EC"/>
    <w:rsid w:val="00A50A5C"/>
    <w:rsid w:val="00AC461C"/>
    <w:rsid w:val="00AE58B9"/>
    <w:rsid w:val="00AF6345"/>
    <w:rsid w:val="00B85CAA"/>
    <w:rsid w:val="00BB6DD1"/>
    <w:rsid w:val="00BF585F"/>
    <w:rsid w:val="00C4509F"/>
    <w:rsid w:val="00C750CB"/>
    <w:rsid w:val="00C82B13"/>
    <w:rsid w:val="00D1105C"/>
    <w:rsid w:val="00D1517A"/>
    <w:rsid w:val="00D516A4"/>
    <w:rsid w:val="00D95EA1"/>
    <w:rsid w:val="00DF678A"/>
    <w:rsid w:val="00E36EB3"/>
    <w:rsid w:val="00E87651"/>
    <w:rsid w:val="00EA1B34"/>
    <w:rsid w:val="00EC68D5"/>
    <w:rsid w:val="00EF7969"/>
    <w:rsid w:val="00FA4446"/>
    <w:rsid w:val="00FB4B51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A32A6"/>
  <w15:docId w15:val="{5F5B75E7-9FFC-48A0-A72E-3341EA9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3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customStyle="1" w:styleId="ECCTabletext">
    <w:name w:val="ECC Table text"/>
    <w:basedOn w:val="Normal"/>
    <w:qFormat/>
    <w:rsid w:val="00444AAF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444AAF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kern w:val="0"/>
      <w:szCs w:val="20"/>
      <w:lang w:val="en-GB" w:eastAsia="de-DE"/>
    </w:rPr>
  </w:style>
  <w:style w:type="table" w:customStyle="1" w:styleId="ECCTable-redheader">
    <w:name w:val="ECC Table - red header"/>
    <w:basedOn w:val="TableNormal"/>
    <w:uiPriority w:val="99"/>
    <w:rsid w:val="00444AAF"/>
    <w:pPr>
      <w:spacing w:before="60" w:after="60" w:line="240" w:lineRule="auto"/>
    </w:pPr>
    <w:rPr>
      <w:rFonts w:ascii="Arial" w:eastAsia="Calibri" w:hAnsi="Arial" w:cs="Times New Roman"/>
      <w:kern w:val="0"/>
      <w:szCs w:val="20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444AAF"/>
    <w:rPr>
      <w:b/>
      <w:bCs/>
    </w:rPr>
  </w:style>
  <w:style w:type="paragraph" w:customStyle="1" w:styleId="Proposal">
    <w:name w:val="Proposal"/>
    <w:basedOn w:val="Normal"/>
    <w:next w:val="Normal"/>
    <w:rsid w:val="0030039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30039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rsid w:val="00D516A4"/>
    <w:pPr>
      <w:spacing w:after="0" w:line="240" w:lineRule="auto"/>
      <w:jc w:val="left"/>
    </w:pPr>
    <w:rPr>
      <w:rFonts w:eastAsia="Calibri"/>
      <w:kern w:val="0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51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umlev1">
    <w:name w:val="enumlev1"/>
    <w:basedOn w:val="Normal"/>
    <w:rsid w:val="00394F4B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607A-AC78-4133-B81F-D44932DD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25</cp:revision>
  <dcterms:created xsi:type="dcterms:W3CDTF">2019-10-15T05:42:00Z</dcterms:created>
  <dcterms:modified xsi:type="dcterms:W3CDTF">2019-10-31T16:51:00Z</dcterms:modified>
</cp:coreProperties>
</file>