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43618A" w:rsidRPr="0043618A" w:rsidRDefault="0043618A" w:rsidP="00AC461C">
      <w:pPr>
        <w:jc w:val="center"/>
        <w:rPr>
          <w:rStyle w:val="a6"/>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 xml:space="preserve">SUN </w:t>
      </w:r>
      <w:proofErr w:type="spellStart"/>
      <w:r>
        <w:rPr>
          <w:rFonts w:ascii="Times New Roman" w:eastAsia="宋体" w:hAnsi="Times New Roman" w:cs="Times New Roman" w:hint="eastAsia"/>
          <w:sz w:val="24"/>
          <w:szCs w:val="24"/>
          <w:lang w:eastAsia="zh-CN"/>
        </w:rPr>
        <w:t>Qian</w:t>
      </w:r>
      <w:proofErr w:type="spellEnd"/>
      <w:r w:rsidR="00DC6CF3">
        <w:rPr>
          <w:rFonts w:ascii="Times New Roman" w:hAnsi="Times New Roman" w:cs="Times New Roman"/>
          <w:sz w:val="24"/>
          <w:szCs w:val="24"/>
        </w:rPr>
        <w:t xml:space="preserve">, </w:t>
      </w:r>
      <w:hyperlink r:id="rId9" w:history="1">
        <w:r>
          <w:rPr>
            <w:rStyle w:val="a6"/>
            <w:rFonts w:ascii="Times New Roman" w:eastAsia="宋体" w:hAnsi="Times New Roman" w:cs="Times New Roman" w:hint="eastAsia"/>
            <w:sz w:val="24"/>
            <w:szCs w:val="24"/>
            <w:lang w:eastAsia="zh-CN"/>
          </w:rPr>
          <w:t>sun_qian_cast</w:t>
        </w:r>
      </w:hyperlink>
      <w:r>
        <w:rPr>
          <w:rStyle w:val="a6"/>
          <w:rFonts w:ascii="Times New Roman" w:eastAsia="宋体" w:hAnsi="Times New Roman" w:cs="Times New Roman" w:hint="eastAsia"/>
          <w:sz w:val="24"/>
          <w:szCs w:val="24"/>
          <w:lang w:eastAsia="zh-CN"/>
        </w:rPr>
        <w:t>@sina.com</w:t>
      </w:r>
    </w:p>
    <w:p w:rsidR="00EA1B34" w:rsidRDefault="00DC6CF3" w:rsidP="00AC461C">
      <w:pPr>
        <w:jc w:val="center"/>
        <w:rPr>
          <w:rFonts w:ascii="Times New Roman" w:hAnsi="Times New Roman" w:cs="Times New Roman"/>
          <w:sz w:val="24"/>
          <w:szCs w:val="24"/>
        </w:rPr>
      </w:pPr>
      <w:r>
        <w:rPr>
          <w:rFonts w:ascii="Times New Roman" w:hAnsi="Times New Roman" w:cs="Times New Roman"/>
          <w:sz w:val="24"/>
          <w:szCs w:val="24"/>
        </w:rPr>
        <w:t xml:space="preserve"> </w:t>
      </w:r>
    </w:p>
    <w:p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693E1C">
        <w:rPr>
          <w:rFonts w:ascii="Times New Roman" w:eastAsia="宋体" w:hAnsi="Times New Roman" w:cs="Times New Roman" w:hint="eastAsia"/>
          <w:sz w:val="24"/>
          <w:szCs w:val="24"/>
          <w:lang w:eastAsia="zh-CN"/>
        </w:rPr>
        <w:t>11</w:t>
      </w:r>
      <w:r w:rsidR="00DC6CF3">
        <w:rPr>
          <w:rFonts w:ascii="Times New Roman" w:hAnsi="Times New Roman" w:cs="Times New Roman"/>
          <w:sz w:val="24"/>
          <w:szCs w:val="24"/>
        </w:rPr>
        <w:t xml:space="preserve"> Nov. 2019</w:t>
      </w:r>
    </w:p>
    <w:p w:rsidR="000B5983" w:rsidRPr="00AC461C" w:rsidRDefault="000B5983" w:rsidP="00086F2C">
      <w:pPr>
        <w:rPr>
          <w:rFonts w:ascii="Times New Roman" w:hAnsi="Times New Roman" w:cs="Times New Roman"/>
          <w:sz w:val="24"/>
          <w:szCs w:val="24"/>
        </w:rPr>
      </w:pPr>
    </w:p>
    <w:p w:rsidR="00EA1B34" w:rsidRDefault="00EA1B34" w:rsidP="00DC6CF3">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DC6CF3">
        <w:rPr>
          <w:rFonts w:ascii="Times New Roman" w:hAnsi="Times New Roman" w:cs="Times New Roman"/>
          <w:sz w:val="24"/>
          <w:szCs w:val="24"/>
        </w:rPr>
        <w:t xml:space="preserve"> 10</w:t>
      </w:r>
      <w:r w:rsidR="00DC6CF3">
        <w:rPr>
          <w:rFonts w:ascii="Times New Roman" w:hAnsi="Times New Roman" w:cs="Times New Roman"/>
          <w:sz w:val="24"/>
          <w:szCs w:val="24"/>
        </w:rPr>
        <w:tab/>
      </w:r>
      <w:r w:rsidR="00DC6CF3" w:rsidRPr="00DC6CF3">
        <w:rPr>
          <w:rFonts w:ascii="Times New Roman" w:hAnsi="Times New Roman" w:cs="Times New Roman"/>
          <w:sz w:val="24"/>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4D7CC0" w:rsidRDefault="004D7CC0" w:rsidP="004D7CC0">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rsidR="00C26FDC" w:rsidRPr="00693E1C" w:rsidRDefault="00693E1C" w:rsidP="005545DE">
      <w:pPr>
        <w:rPr>
          <w:rFonts w:ascii="Times New Roman" w:eastAsia="宋体" w:hAnsi="Times New Roman" w:cs="Times New Roman" w:hint="eastAsia"/>
          <w:sz w:val="24"/>
          <w:szCs w:val="24"/>
          <w:lang w:eastAsia="zh-CN"/>
        </w:rPr>
      </w:pPr>
      <w:proofErr w:type="gramStart"/>
      <w:r>
        <w:rPr>
          <w:rFonts w:ascii="Times New Roman" w:eastAsia="宋体" w:hAnsi="Times New Roman" w:cs="Times New Roman" w:hint="eastAsia"/>
          <w:sz w:val="24"/>
          <w:szCs w:val="24"/>
          <w:lang w:eastAsia="zh-CN"/>
        </w:rPr>
        <w:t>None.</w:t>
      </w:r>
      <w:proofErr w:type="gramEnd"/>
    </w:p>
    <w:p w:rsidR="008742F3" w:rsidRPr="00F91B6A"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693E1C" w:rsidRPr="00054A9A" w:rsidRDefault="005545DE" w:rsidP="005545DE">
      <w:pPr>
        <w:rPr>
          <w:rFonts w:ascii="Times New Roman" w:hAnsi="Times New Roman" w:cs="Times New Roman" w:hint="eastAsia"/>
          <w:sz w:val="24"/>
          <w:szCs w:val="24"/>
        </w:rPr>
      </w:pPr>
      <w:r w:rsidRPr="005545DE">
        <w:rPr>
          <w:rFonts w:ascii="Times New Roman" w:hAnsi="Times New Roman" w:cs="Times New Roman"/>
          <w:sz w:val="24"/>
          <w:szCs w:val="24"/>
        </w:rPr>
        <w:t>“</w:t>
      </w:r>
      <w:r w:rsidRPr="005545DE">
        <w:rPr>
          <w:rFonts w:ascii="Times New Roman" w:hAnsi="Times New Roman" w:cs="Times New Roman" w:hint="eastAsia"/>
          <w:sz w:val="24"/>
          <w:szCs w:val="24"/>
        </w:rPr>
        <w:t>T</w:t>
      </w:r>
      <w:r w:rsidRPr="005545DE">
        <w:rPr>
          <w:rFonts w:ascii="Times New Roman" w:hAnsi="Times New Roman" w:cs="Times New Roman"/>
          <w:sz w:val="24"/>
          <w:szCs w:val="24"/>
        </w:rPr>
        <w:t>o study the technical, and operational matters, and regulatory provisions for space-to-space links in the [TBD] frequency band[s] among non-geostationary and geostationary satellites operating in the mobile-satellite service</w:t>
      </w:r>
      <w:r w:rsidRPr="005545DE">
        <w:rPr>
          <w:rFonts w:ascii="Times New Roman" w:hAnsi="Times New Roman" w:cs="Times New Roman"/>
          <w:sz w:val="24"/>
          <w:szCs w:val="24"/>
        </w:rPr>
        <w:t>”</w:t>
      </w:r>
      <w:r w:rsidRPr="005545DE">
        <w:rPr>
          <w:rFonts w:ascii="Times New Roman" w:hAnsi="Times New Roman" w:cs="Times New Roman" w:hint="eastAsia"/>
          <w:sz w:val="24"/>
          <w:szCs w:val="24"/>
        </w:rPr>
        <w:t xml:space="preserve"> </w:t>
      </w:r>
      <w:r w:rsidR="00693E1C" w:rsidRPr="005545DE">
        <w:rPr>
          <w:rFonts w:ascii="Times New Roman" w:hAnsi="Times New Roman" w:cs="Times New Roman" w:hint="eastAsia"/>
          <w:sz w:val="24"/>
          <w:szCs w:val="24"/>
        </w:rPr>
        <w:t>was proposed by SNG,</w:t>
      </w:r>
      <w:r w:rsidR="00054A9A" w:rsidRPr="00054A9A">
        <w:rPr>
          <w:rFonts w:ascii="Times New Roman" w:hAnsi="Times New Roman" w:cs="Times New Roman" w:hint="eastAsia"/>
          <w:sz w:val="24"/>
          <w:szCs w:val="24"/>
        </w:rPr>
        <w:t xml:space="preserve"> </w:t>
      </w:r>
      <w:r w:rsidR="00693E1C" w:rsidRPr="005545DE">
        <w:rPr>
          <w:rFonts w:ascii="Times New Roman" w:hAnsi="Times New Roman" w:cs="Times New Roman" w:hint="eastAsia"/>
          <w:sz w:val="24"/>
          <w:szCs w:val="24"/>
        </w:rPr>
        <w:t>SMO,</w:t>
      </w:r>
      <w:r w:rsidR="00054A9A" w:rsidRPr="00054A9A">
        <w:rPr>
          <w:rFonts w:ascii="Times New Roman" w:hAnsi="Times New Roman" w:cs="Times New Roman" w:hint="eastAsia"/>
          <w:sz w:val="24"/>
          <w:szCs w:val="24"/>
        </w:rPr>
        <w:t xml:space="preserve"> </w:t>
      </w:r>
      <w:r w:rsidR="00693E1C" w:rsidRPr="005545DE">
        <w:rPr>
          <w:rFonts w:ascii="Times New Roman" w:hAnsi="Times New Roman" w:cs="Times New Roman" w:hint="eastAsia"/>
          <w:sz w:val="24"/>
          <w:szCs w:val="24"/>
        </w:rPr>
        <w:t>B,</w:t>
      </w:r>
      <w:r w:rsidR="00054A9A" w:rsidRPr="00054A9A">
        <w:rPr>
          <w:rFonts w:ascii="Times New Roman" w:hAnsi="Times New Roman" w:cs="Times New Roman" w:hint="eastAsia"/>
          <w:sz w:val="24"/>
          <w:szCs w:val="24"/>
        </w:rPr>
        <w:t xml:space="preserve"> </w:t>
      </w:r>
      <w:r w:rsidR="00693E1C" w:rsidRPr="005545DE">
        <w:rPr>
          <w:rFonts w:ascii="Times New Roman" w:hAnsi="Times New Roman" w:cs="Times New Roman" w:hint="eastAsia"/>
          <w:sz w:val="24"/>
          <w:szCs w:val="24"/>
        </w:rPr>
        <w:t>USA,</w:t>
      </w:r>
      <w:r w:rsidR="00054A9A" w:rsidRPr="00054A9A">
        <w:rPr>
          <w:rFonts w:ascii="Times New Roman" w:hAnsi="Times New Roman" w:cs="Times New Roman" w:hint="eastAsia"/>
          <w:sz w:val="24"/>
          <w:szCs w:val="24"/>
        </w:rPr>
        <w:t xml:space="preserve"> </w:t>
      </w:r>
      <w:r w:rsidR="00693E1C" w:rsidRPr="005545DE">
        <w:rPr>
          <w:rFonts w:ascii="Times New Roman" w:hAnsi="Times New Roman" w:cs="Times New Roman" w:hint="eastAsia"/>
          <w:sz w:val="24"/>
          <w:szCs w:val="24"/>
        </w:rPr>
        <w:t>ATU and CITEL.</w:t>
      </w:r>
    </w:p>
    <w:p w:rsidR="00054A9A" w:rsidRPr="008E6B00" w:rsidRDefault="008E6B00" w:rsidP="005545DE">
      <w:pPr>
        <w:rPr>
          <w:rFonts w:ascii="Times New Roman" w:hAnsi="Times New Roman" w:cs="Times New Roman" w:hint="eastAsia"/>
          <w:sz w:val="24"/>
          <w:szCs w:val="24"/>
        </w:rPr>
      </w:pPr>
      <w:r w:rsidRPr="008E6B00">
        <w:rPr>
          <w:rFonts w:ascii="Times New Roman" w:hAnsi="Times New Roman" w:cs="Times New Roman" w:hint="eastAsia"/>
          <w:sz w:val="24"/>
          <w:szCs w:val="24"/>
        </w:rPr>
        <w:t>T</w:t>
      </w:r>
      <w:r w:rsidR="00054A9A" w:rsidRPr="008E6B00">
        <w:rPr>
          <w:rFonts w:ascii="Times New Roman" w:hAnsi="Times New Roman" w:cs="Times New Roman" w:hint="eastAsia"/>
          <w:sz w:val="24"/>
          <w:szCs w:val="24"/>
        </w:rPr>
        <w:t xml:space="preserve">he frequency bands </w:t>
      </w:r>
      <w:r w:rsidRPr="008E6B00">
        <w:rPr>
          <w:rFonts w:ascii="Times New Roman" w:hAnsi="Times New Roman" w:cs="Times New Roman" w:hint="eastAsia"/>
          <w:sz w:val="24"/>
          <w:szCs w:val="24"/>
        </w:rPr>
        <w:t xml:space="preserve">now </w:t>
      </w:r>
      <w:r w:rsidR="00054A9A" w:rsidRPr="008E6B00">
        <w:rPr>
          <w:rFonts w:ascii="Times New Roman" w:hAnsi="Times New Roman" w:cs="Times New Roman" w:hint="eastAsia"/>
          <w:sz w:val="24"/>
          <w:szCs w:val="24"/>
        </w:rPr>
        <w:t xml:space="preserve">under </w:t>
      </w:r>
      <w:r w:rsidRPr="008E6B00">
        <w:rPr>
          <w:rFonts w:ascii="Times New Roman" w:hAnsi="Times New Roman" w:cs="Times New Roman" w:hint="eastAsia"/>
          <w:sz w:val="24"/>
          <w:szCs w:val="24"/>
        </w:rPr>
        <w:t>discussion</w:t>
      </w:r>
      <w:r w:rsidR="00054A9A" w:rsidRPr="008E6B00">
        <w:rPr>
          <w:rFonts w:ascii="Times New Roman" w:hAnsi="Times New Roman" w:cs="Times New Roman" w:hint="eastAsia"/>
          <w:sz w:val="24"/>
          <w:szCs w:val="24"/>
        </w:rPr>
        <w:t xml:space="preserve"> </w:t>
      </w:r>
      <w:r w:rsidRPr="008E6B00">
        <w:rPr>
          <w:rFonts w:ascii="Times New Roman" w:hAnsi="Times New Roman" w:cs="Times New Roman" w:hint="eastAsia"/>
          <w:sz w:val="24"/>
          <w:szCs w:val="24"/>
        </w:rPr>
        <w:t>are</w:t>
      </w:r>
      <w:r w:rsidR="00054A9A" w:rsidRPr="008E6B00">
        <w:rPr>
          <w:rFonts w:ascii="Times New Roman" w:hAnsi="Times New Roman" w:cs="Times New Roman" w:hint="eastAsia"/>
          <w:sz w:val="24"/>
          <w:szCs w:val="24"/>
        </w:rPr>
        <w:t xml:space="preserve"> as follow</w:t>
      </w:r>
      <w:r w:rsidRPr="008E6B00">
        <w:rPr>
          <w:rFonts w:ascii="Times New Roman" w:hAnsi="Times New Roman" w:cs="Times New Roman" w:hint="eastAsia"/>
          <w:sz w:val="24"/>
          <w:szCs w:val="24"/>
        </w:rPr>
        <w:t>s</w:t>
      </w:r>
      <w:r w:rsidR="00054A9A" w:rsidRPr="008E6B00">
        <w:rPr>
          <w:rFonts w:ascii="Times New Roman" w:hAnsi="Times New Roman" w:cs="Times New Roman" w:hint="eastAsia"/>
          <w:sz w:val="24"/>
          <w:szCs w:val="24"/>
        </w:rPr>
        <w:t>.</w:t>
      </w:r>
    </w:p>
    <w:tbl>
      <w:tblPr>
        <w:tblStyle w:val="a7"/>
        <w:tblW w:w="0" w:type="auto"/>
        <w:tblLook w:val="04A0" w:firstRow="1" w:lastRow="0" w:firstColumn="1" w:lastColumn="0" w:noHBand="0" w:noVBand="1"/>
      </w:tblPr>
      <w:tblGrid>
        <w:gridCol w:w="1326"/>
        <w:gridCol w:w="687"/>
        <w:gridCol w:w="687"/>
        <w:gridCol w:w="687"/>
        <w:gridCol w:w="687"/>
        <w:gridCol w:w="803"/>
        <w:gridCol w:w="821"/>
        <w:gridCol w:w="821"/>
        <w:gridCol w:w="688"/>
        <w:gridCol w:w="688"/>
        <w:gridCol w:w="688"/>
        <w:gridCol w:w="803"/>
      </w:tblGrid>
      <w:tr w:rsidR="00054A9A" w:rsidRPr="005E7973" w:rsidTr="00EC1497">
        <w:tc>
          <w:tcPr>
            <w:tcW w:w="0" w:type="auto"/>
          </w:tcPr>
          <w:p w:rsidR="00054A9A" w:rsidRPr="005E7973" w:rsidRDefault="00054A9A" w:rsidP="00EC1497">
            <w:pPr>
              <w:autoSpaceDE/>
              <w:autoSpaceDN/>
              <w:rPr>
                <w:sz w:val="15"/>
                <w:szCs w:val="15"/>
                <w:lang w:val="en-CA"/>
              </w:rPr>
            </w:pPr>
            <w:r w:rsidRPr="005E7973">
              <w:rPr>
                <w:sz w:val="15"/>
                <w:szCs w:val="15"/>
                <w:lang w:val="en-CA"/>
              </w:rPr>
              <w:t>Band (MHz)</w:t>
            </w:r>
          </w:p>
        </w:tc>
        <w:tc>
          <w:tcPr>
            <w:tcW w:w="0" w:type="auto"/>
          </w:tcPr>
          <w:p w:rsidR="00054A9A" w:rsidRPr="005E7973" w:rsidRDefault="00054A9A" w:rsidP="00EC1497">
            <w:pPr>
              <w:autoSpaceDE/>
              <w:autoSpaceDN/>
              <w:rPr>
                <w:sz w:val="15"/>
                <w:szCs w:val="15"/>
                <w:lang w:val="en-CA"/>
              </w:rPr>
            </w:pPr>
            <w:r w:rsidRPr="005E7973">
              <w:rPr>
                <w:sz w:val="15"/>
                <w:szCs w:val="15"/>
                <w:lang w:val="en-CA"/>
              </w:rPr>
              <w:t>1 518 – 1 525</w:t>
            </w:r>
          </w:p>
        </w:tc>
        <w:tc>
          <w:tcPr>
            <w:tcW w:w="0" w:type="auto"/>
          </w:tcPr>
          <w:p w:rsidR="00054A9A" w:rsidRPr="005E7973" w:rsidRDefault="00054A9A" w:rsidP="00EC1497">
            <w:pPr>
              <w:autoSpaceDE/>
              <w:autoSpaceDN/>
              <w:rPr>
                <w:sz w:val="15"/>
                <w:szCs w:val="15"/>
                <w:lang w:val="en-CA"/>
              </w:rPr>
            </w:pPr>
            <w:r w:rsidRPr="005E7973">
              <w:rPr>
                <w:sz w:val="15"/>
                <w:szCs w:val="15"/>
                <w:lang w:val="en-CA"/>
              </w:rPr>
              <w:t>1 525 – 1 544</w:t>
            </w:r>
          </w:p>
        </w:tc>
        <w:tc>
          <w:tcPr>
            <w:tcW w:w="0" w:type="auto"/>
          </w:tcPr>
          <w:p w:rsidR="00054A9A" w:rsidRPr="005E7973" w:rsidRDefault="00054A9A" w:rsidP="00EC1497">
            <w:pPr>
              <w:autoSpaceDE/>
              <w:autoSpaceDN/>
              <w:rPr>
                <w:sz w:val="15"/>
                <w:szCs w:val="15"/>
                <w:lang w:val="en-CA"/>
              </w:rPr>
            </w:pPr>
            <w:r w:rsidRPr="005E7973">
              <w:rPr>
                <w:sz w:val="15"/>
                <w:szCs w:val="15"/>
                <w:lang w:val="en-CA"/>
              </w:rPr>
              <w:t>1 544 – 1 545</w:t>
            </w:r>
          </w:p>
        </w:tc>
        <w:tc>
          <w:tcPr>
            <w:tcW w:w="0" w:type="auto"/>
          </w:tcPr>
          <w:p w:rsidR="00054A9A" w:rsidRPr="005E7973" w:rsidRDefault="00054A9A" w:rsidP="00EC1497">
            <w:pPr>
              <w:autoSpaceDE/>
              <w:autoSpaceDN/>
              <w:rPr>
                <w:sz w:val="15"/>
                <w:szCs w:val="15"/>
                <w:lang w:val="en-CA"/>
              </w:rPr>
            </w:pPr>
            <w:r w:rsidRPr="005E7973">
              <w:rPr>
                <w:sz w:val="15"/>
                <w:szCs w:val="15"/>
                <w:lang w:val="en-CA"/>
              </w:rPr>
              <w:t>1 545 – 1 559</w:t>
            </w:r>
          </w:p>
        </w:tc>
        <w:tc>
          <w:tcPr>
            <w:tcW w:w="0" w:type="auto"/>
          </w:tcPr>
          <w:p w:rsidR="00054A9A" w:rsidRPr="005E7973" w:rsidRDefault="00054A9A" w:rsidP="00EC1497">
            <w:pPr>
              <w:autoSpaceDE/>
              <w:autoSpaceDN/>
              <w:rPr>
                <w:sz w:val="15"/>
                <w:szCs w:val="15"/>
                <w:lang w:val="en-CA"/>
              </w:rPr>
            </w:pPr>
            <w:r w:rsidRPr="005E7973">
              <w:rPr>
                <w:sz w:val="15"/>
                <w:szCs w:val="15"/>
                <w:lang w:val="en-CA"/>
              </w:rPr>
              <w:t xml:space="preserve">1 610 – 1 626.5 </w:t>
            </w:r>
          </w:p>
          <w:p w:rsidR="00054A9A" w:rsidRPr="005E7973" w:rsidRDefault="00054A9A" w:rsidP="00EC1497">
            <w:pPr>
              <w:autoSpaceDE/>
              <w:autoSpaceDN/>
              <w:rPr>
                <w:sz w:val="15"/>
                <w:szCs w:val="15"/>
                <w:lang w:val="en-CA"/>
              </w:rPr>
            </w:pPr>
            <w:r w:rsidRPr="005E7973">
              <w:rPr>
                <w:sz w:val="15"/>
                <w:szCs w:val="15"/>
                <w:lang w:val="en-CA"/>
              </w:rPr>
              <w:t>E-s</w:t>
            </w:r>
          </w:p>
        </w:tc>
        <w:tc>
          <w:tcPr>
            <w:tcW w:w="0" w:type="auto"/>
          </w:tcPr>
          <w:p w:rsidR="00054A9A" w:rsidRPr="005E7973" w:rsidRDefault="00054A9A" w:rsidP="00EC1497">
            <w:pPr>
              <w:autoSpaceDE/>
              <w:autoSpaceDN/>
              <w:rPr>
                <w:sz w:val="15"/>
                <w:szCs w:val="15"/>
                <w:lang w:val="en-CA"/>
              </w:rPr>
            </w:pPr>
            <w:r w:rsidRPr="005E7973">
              <w:rPr>
                <w:sz w:val="15"/>
                <w:szCs w:val="15"/>
                <w:lang w:val="en-CA"/>
              </w:rPr>
              <w:t xml:space="preserve">1 613.8 – 1 626.5 </w:t>
            </w:r>
          </w:p>
          <w:p w:rsidR="00054A9A" w:rsidRPr="005E7973" w:rsidRDefault="00054A9A" w:rsidP="00EC1497">
            <w:pPr>
              <w:autoSpaceDE/>
              <w:autoSpaceDN/>
              <w:rPr>
                <w:sz w:val="15"/>
                <w:szCs w:val="15"/>
                <w:lang w:val="en-CA"/>
              </w:rPr>
            </w:pPr>
            <w:r w:rsidRPr="005E7973">
              <w:rPr>
                <w:sz w:val="15"/>
                <w:szCs w:val="15"/>
                <w:lang w:val="en-CA"/>
              </w:rPr>
              <w:t>s-E</w:t>
            </w:r>
          </w:p>
        </w:tc>
        <w:tc>
          <w:tcPr>
            <w:tcW w:w="0" w:type="auto"/>
          </w:tcPr>
          <w:p w:rsidR="00054A9A" w:rsidRPr="005E7973" w:rsidRDefault="00054A9A" w:rsidP="00EC1497">
            <w:pPr>
              <w:autoSpaceDE/>
              <w:autoSpaceDN/>
              <w:rPr>
                <w:sz w:val="15"/>
                <w:szCs w:val="15"/>
                <w:lang w:val="en-CA"/>
              </w:rPr>
            </w:pPr>
            <w:r w:rsidRPr="005E7973">
              <w:rPr>
                <w:sz w:val="15"/>
                <w:szCs w:val="15"/>
                <w:lang w:val="en-CA"/>
              </w:rPr>
              <w:t>1 626.5 – 1 660.5</w:t>
            </w:r>
          </w:p>
        </w:tc>
        <w:tc>
          <w:tcPr>
            <w:tcW w:w="0" w:type="auto"/>
          </w:tcPr>
          <w:p w:rsidR="00054A9A" w:rsidRPr="005E7973" w:rsidRDefault="00054A9A" w:rsidP="00EC1497">
            <w:pPr>
              <w:autoSpaceDE/>
              <w:autoSpaceDN/>
              <w:rPr>
                <w:sz w:val="15"/>
                <w:szCs w:val="15"/>
                <w:lang w:val="en-CA"/>
              </w:rPr>
            </w:pPr>
            <w:r w:rsidRPr="005E7973">
              <w:rPr>
                <w:sz w:val="15"/>
                <w:szCs w:val="15"/>
                <w:lang w:val="en-CA"/>
              </w:rPr>
              <w:t>1 668 – 1 670</w:t>
            </w:r>
          </w:p>
        </w:tc>
        <w:tc>
          <w:tcPr>
            <w:tcW w:w="0" w:type="auto"/>
          </w:tcPr>
          <w:p w:rsidR="00054A9A" w:rsidRPr="005E7973" w:rsidRDefault="00054A9A" w:rsidP="00EC1497">
            <w:pPr>
              <w:autoSpaceDE/>
              <w:autoSpaceDN/>
              <w:rPr>
                <w:sz w:val="15"/>
                <w:szCs w:val="15"/>
                <w:lang w:val="en-CA"/>
              </w:rPr>
            </w:pPr>
            <w:r w:rsidRPr="005E7973">
              <w:rPr>
                <w:sz w:val="15"/>
                <w:szCs w:val="15"/>
                <w:lang w:val="en-CA"/>
              </w:rPr>
              <w:t>1 670 – 1 675</w:t>
            </w:r>
          </w:p>
        </w:tc>
        <w:tc>
          <w:tcPr>
            <w:tcW w:w="0" w:type="auto"/>
          </w:tcPr>
          <w:p w:rsidR="00054A9A" w:rsidRPr="005E7973" w:rsidRDefault="00054A9A" w:rsidP="00EC1497">
            <w:pPr>
              <w:autoSpaceDE/>
              <w:autoSpaceDN/>
              <w:rPr>
                <w:sz w:val="15"/>
                <w:szCs w:val="15"/>
                <w:lang w:val="en-CA"/>
              </w:rPr>
            </w:pPr>
            <w:r w:rsidRPr="005E7973">
              <w:rPr>
                <w:sz w:val="15"/>
                <w:szCs w:val="15"/>
                <w:lang w:val="en-CA"/>
              </w:rPr>
              <w:t>2 160 – 2 200</w:t>
            </w:r>
          </w:p>
        </w:tc>
        <w:tc>
          <w:tcPr>
            <w:tcW w:w="0" w:type="auto"/>
          </w:tcPr>
          <w:p w:rsidR="00054A9A" w:rsidRPr="005E7973" w:rsidRDefault="00054A9A" w:rsidP="00EC1497">
            <w:pPr>
              <w:autoSpaceDE/>
              <w:autoSpaceDN/>
              <w:rPr>
                <w:sz w:val="15"/>
                <w:szCs w:val="15"/>
                <w:lang w:val="en-CA"/>
              </w:rPr>
            </w:pPr>
            <w:r w:rsidRPr="005E7973">
              <w:rPr>
                <w:sz w:val="15"/>
                <w:szCs w:val="15"/>
                <w:lang w:val="en-CA"/>
              </w:rPr>
              <w:t>2 483.5 – 2 500</w:t>
            </w:r>
          </w:p>
        </w:tc>
      </w:tr>
      <w:tr w:rsidR="00054A9A" w:rsidRPr="005E7973" w:rsidTr="00EC1497">
        <w:tc>
          <w:tcPr>
            <w:tcW w:w="0" w:type="auto"/>
          </w:tcPr>
          <w:p w:rsidR="00054A9A" w:rsidRPr="005E7973" w:rsidRDefault="00054A9A" w:rsidP="00EC1497">
            <w:pPr>
              <w:autoSpaceDE/>
              <w:autoSpaceDN/>
              <w:rPr>
                <w:sz w:val="15"/>
                <w:szCs w:val="15"/>
                <w:lang w:val="en-CA"/>
              </w:rPr>
            </w:pPr>
            <w:r w:rsidRPr="005E7973">
              <w:rPr>
                <w:sz w:val="15"/>
                <w:szCs w:val="15"/>
                <w:lang w:val="en-CA"/>
              </w:rPr>
              <w:t>AFCP/SNG/SMO</w:t>
            </w:r>
          </w:p>
        </w:tc>
        <w:tc>
          <w:tcPr>
            <w:tcW w:w="0" w:type="auto"/>
            <w:shd w:val="clear" w:color="auto" w:fill="FFFF00"/>
          </w:tcPr>
          <w:p w:rsidR="00054A9A" w:rsidRPr="005E7973" w:rsidRDefault="00054A9A" w:rsidP="00EC1497">
            <w:pPr>
              <w:autoSpaceDE/>
              <w:autoSpaceDN/>
              <w:rPr>
                <w:sz w:val="15"/>
                <w:szCs w:val="15"/>
                <w:lang w:val="en-CA"/>
              </w:rPr>
            </w:pPr>
          </w:p>
        </w:tc>
        <w:tc>
          <w:tcPr>
            <w:tcW w:w="0" w:type="auto"/>
            <w:shd w:val="clear" w:color="auto" w:fill="FFFF00"/>
          </w:tcPr>
          <w:p w:rsidR="00054A9A" w:rsidRPr="005E7973" w:rsidRDefault="00054A9A" w:rsidP="00EC1497">
            <w:pPr>
              <w:autoSpaceDE/>
              <w:autoSpaceDN/>
              <w:rPr>
                <w:sz w:val="15"/>
                <w:szCs w:val="15"/>
                <w:lang w:val="en-CA"/>
              </w:rPr>
            </w:pPr>
          </w:p>
        </w:tc>
        <w:tc>
          <w:tcPr>
            <w:tcW w:w="0" w:type="auto"/>
            <w:shd w:val="clear" w:color="auto" w:fill="FFFF00"/>
          </w:tcPr>
          <w:p w:rsidR="00054A9A" w:rsidRPr="005E7973" w:rsidRDefault="00054A9A" w:rsidP="00EC1497">
            <w:pPr>
              <w:autoSpaceDE/>
              <w:autoSpaceDN/>
              <w:rPr>
                <w:sz w:val="15"/>
                <w:szCs w:val="15"/>
                <w:lang w:val="en-CA"/>
              </w:rPr>
            </w:pPr>
          </w:p>
        </w:tc>
        <w:tc>
          <w:tcPr>
            <w:tcW w:w="0" w:type="auto"/>
            <w:shd w:val="clear" w:color="auto" w:fill="FFFF00"/>
          </w:tcPr>
          <w:p w:rsidR="00054A9A" w:rsidRPr="005E7973" w:rsidRDefault="00054A9A" w:rsidP="00EC1497">
            <w:pPr>
              <w:autoSpaceDE/>
              <w:autoSpaceDN/>
              <w:rPr>
                <w:sz w:val="15"/>
                <w:szCs w:val="15"/>
                <w:lang w:val="en-CA"/>
              </w:rPr>
            </w:pPr>
          </w:p>
        </w:tc>
        <w:tc>
          <w:tcPr>
            <w:tcW w:w="0" w:type="auto"/>
          </w:tcPr>
          <w:p w:rsidR="00054A9A" w:rsidRPr="005E7973" w:rsidRDefault="00054A9A" w:rsidP="00EC1497">
            <w:pPr>
              <w:autoSpaceDE/>
              <w:autoSpaceDN/>
              <w:rPr>
                <w:sz w:val="15"/>
                <w:szCs w:val="15"/>
                <w:lang w:val="en-CA"/>
              </w:rPr>
            </w:pPr>
          </w:p>
        </w:tc>
        <w:tc>
          <w:tcPr>
            <w:tcW w:w="0" w:type="auto"/>
            <w:shd w:val="clear" w:color="auto" w:fill="auto"/>
          </w:tcPr>
          <w:p w:rsidR="00054A9A" w:rsidRPr="005E7973" w:rsidRDefault="00054A9A" w:rsidP="00EC1497">
            <w:pPr>
              <w:autoSpaceDE/>
              <w:autoSpaceDN/>
              <w:rPr>
                <w:sz w:val="15"/>
                <w:szCs w:val="15"/>
                <w:lang w:val="en-CA"/>
              </w:rPr>
            </w:pPr>
          </w:p>
        </w:tc>
        <w:tc>
          <w:tcPr>
            <w:tcW w:w="0" w:type="auto"/>
            <w:shd w:val="clear" w:color="auto" w:fill="FFFF00"/>
          </w:tcPr>
          <w:p w:rsidR="00054A9A" w:rsidRPr="005E7973" w:rsidRDefault="00054A9A" w:rsidP="00EC1497">
            <w:pPr>
              <w:autoSpaceDE/>
              <w:autoSpaceDN/>
              <w:rPr>
                <w:sz w:val="15"/>
                <w:szCs w:val="15"/>
                <w:lang w:val="en-CA"/>
              </w:rPr>
            </w:pPr>
          </w:p>
        </w:tc>
        <w:tc>
          <w:tcPr>
            <w:tcW w:w="0" w:type="auto"/>
            <w:shd w:val="clear" w:color="auto" w:fill="FFFF00"/>
          </w:tcPr>
          <w:p w:rsidR="00054A9A" w:rsidRPr="005E7973" w:rsidRDefault="00054A9A" w:rsidP="00EC1497">
            <w:pPr>
              <w:autoSpaceDE/>
              <w:autoSpaceDN/>
              <w:rPr>
                <w:sz w:val="15"/>
                <w:szCs w:val="15"/>
                <w:lang w:val="en-CA"/>
              </w:rPr>
            </w:pPr>
          </w:p>
        </w:tc>
        <w:tc>
          <w:tcPr>
            <w:tcW w:w="0" w:type="auto"/>
            <w:shd w:val="clear" w:color="auto" w:fill="FFFF00"/>
          </w:tcPr>
          <w:p w:rsidR="00054A9A" w:rsidRPr="005E7973" w:rsidRDefault="00054A9A" w:rsidP="00EC1497">
            <w:pPr>
              <w:autoSpaceDE/>
              <w:autoSpaceDN/>
              <w:rPr>
                <w:sz w:val="15"/>
                <w:szCs w:val="15"/>
                <w:lang w:val="en-CA"/>
              </w:rPr>
            </w:pPr>
          </w:p>
        </w:tc>
        <w:tc>
          <w:tcPr>
            <w:tcW w:w="0" w:type="auto"/>
          </w:tcPr>
          <w:p w:rsidR="00054A9A" w:rsidRPr="005E7973" w:rsidRDefault="00054A9A" w:rsidP="00EC1497">
            <w:pPr>
              <w:autoSpaceDE/>
              <w:autoSpaceDN/>
              <w:rPr>
                <w:sz w:val="15"/>
                <w:szCs w:val="15"/>
                <w:lang w:val="en-CA"/>
              </w:rPr>
            </w:pPr>
          </w:p>
        </w:tc>
        <w:tc>
          <w:tcPr>
            <w:tcW w:w="0" w:type="auto"/>
          </w:tcPr>
          <w:p w:rsidR="00054A9A" w:rsidRPr="005E7973" w:rsidRDefault="00054A9A" w:rsidP="00EC1497">
            <w:pPr>
              <w:autoSpaceDE/>
              <w:autoSpaceDN/>
              <w:rPr>
                <w:sz w:val="15"/>
                <w:szCs w:val="15"/>
                <w:lang w:val="en-CA"/>
              </w:rPr>
            </w:pPr>
          </w:p>
        </w:tc>
      </w:tr>
      <w:tr w:rsidR="00054A9A" w:rsidRPr="005E7973" w:rsidTr="00EC1497">
        <w:tc>
          <w:tcPr>
            <w:tcW w:w="0" w:type="auto"/>
          </w:tcPr>
          <w:p w:rsidR="00054A9A" w:rsidRPr="005E7973" w:rsidRDefault="00054A9A" w:rsidP="00EC1497">
            <w:pPr>
              <w:autoSpaceDE/>
              <w:autoSpaceDN/>
              <w:rPr>
                <w:sz w:val="15"/>
                <w:szCs w:val="15"/>
                <w:lang w:val="en-CA"/>
              </w:rPr>
            </w:pPr>
            <w:r w:rsidRPr="005E7973">
              <w:rPr>
                <w:sz w:val="15"/>
                <w:szCs w:val="15"/>
                <w:lang w:val="en-CA"/>
              </w:rPr>
              <w:t>IAP</w:t>
            </w:r>
          </w:p>
        </w:tc>
        <w:tc>
          <w:tcPr>
            <w:tcW w:w="0" w:type="auto"/>
          </w:tcPr>
          <w:p w:rsidR="00054A9A" w:rsidRPr="005E7973" w:rsidRDefault="00054A9A" w:rsidP="00EC1497">
            <w:pPr>
              <w:autoSpaceDE/>
              <w:autoSpaceDN/>
              <w:rPr>
                <w:sz w:val="15"/>
                <w:szCs w:val="15"/>
                <w:lang w:val="en-CA"/>
              </w:rPr>
            </w:pPr>
          </w:p>
        </w:tc>
        <w:tc>
          <w:tcPr>
            <w:tcW w:w="0" w:type="auto"/>
            <w:shd w:val="clear" w:color="auto" w:fill="00B0F0"/>
          </w:tcPr>
          <w:p w:rsidR="00054A9A" w:rsidRPr="005E7973" w:rsidRDefault="00054A9A" w:rsidP="00EC1497">
            <w:pPr>
              <w:autoSpaceDE/>
              <w:autoSpaceDN/>
              <w:rPr>
                <w:sz w:val="15"/>
                <w:szCs w:val="15"/>
                <w:lang w:val="en-CA"/>
              </w:rPr>
            </w:pPr>
          </w:p>
        </w:tc>
        <w:tc>
          <w:tcPr>
            <w:tcW w:w="0" w:type="auto"/>
          </w:tcPr>
          <w:p w:rsidR="00054A9A" w:rsidRPr="005E7973" w:rsidRDefault="00054A9A" w:rsidP="00EC1497">
            <w:pPr>
              <w:autoSpaceDE/>
              <w:autoSpaceDN/>
              <w:rPr>
                <w:sz w:val="15"/>
                <w:szCs w:val="15"/>
                <w:lang w:val="en-CA"/>
              </w:rPr>
            </w:pPr>
          </w:p>
        </w:tc>
        <w:tc>
          <w:tcPr>
            <w:tcW w:w="0" w:type="auto"/>
            <w:shd w:val="clear" w:color="auto" w:fill="00B0F0"/>
          </w:tcPr>
          <w:p w:rsidR="00054A9A" w:rsidRPr="005E7973" w:rsidRDefault="00054A9A" w:rsidP="00EC1497">
            <w:pPr>
              <w:autoSpaceDE/>
              <w:autoSpaceDN/>
              <w:rPr>
                <w:sz w:val="15"/>
                <w:szCs w:val="15"/>
                <w:lang w:val="en-CA"/>
              </w:rPr>
            </w:pPr>
          </w:p>
        </w:tc>
        <w:tc>
          <w:tcPr>
            <w:tcW w:w="0" w:type="auto"/>
            <w:shd w:val="clear" w:color="auto" w:fill="00B0F0"/>
          </w:tcPr>
          <w:p w:rsidR="00054A9A" w:rsidRPr="005E7973" w:rsidRDefault="00054A9A" w:rsidP="00EC1497">
            <w:pPr>
              <w:autoSpaceDE/>
              <w:autoSpaceDN/>
              <w:rPr>
                <w:sz w:val="15"/>
                <w:szCs w:val="15"/>
                <w:lang w:val="en-CA"/>
              </w:rPr>
            </w:pPr>
          </w:p>
        </w:tc>
        <w:tc>
          <w:tcPr>
            <w:tcW w:w="0" w:type="auto"/>
            <w:shd w:val="clear" w:color="auto" w:fill="00B0F0"/>
          </w:tcPr>
          <w:p w:rsidR="00054A9A" w:rsidRPr="005E7973" w:rsidRDefault="00054A9A" w:rsidP="00EC1497">
            <w:pPr>
              <w:autoSpaceDE/>
              <w:autoSpaceDN/>
              <w:rPr>
                <w:sz w:val="15"/>
                <w:szCs w:val="15"/>
                <w:lang w:val="en-CA"/>
              </w:rPr>
            </w:pPr>
          </w:p>
        </w:tc>
        <w:tc>
          <w:tcPr>
            <w:tcW w:w="0" w:type="auto"/>
            <w:shd w:val="clear" w:color="auto" w:fill="00B0F0"/>
          </w:tcPr>
          <w:p w:rsidR="00054A9A" w:rsidRPr="005E7973" w:rsidRDefault="00054A9A" w:rsidP="00EC1497">
            <w:pPr>
              <w:autoSpaceDE/>
              <w:autoSpaceDN/>
              <w:rPr>
                <w:sz w:val="15"/>
                <w:szCs w:val="15"/>
                <w:lang w:val="en-CA"/>
              </w:rPr>
            </w:pPr>
          </w:p>
        </w:tc>
        <w:tc>
          <w:tcPr>
            <w:tcW w:w="0" w:type="auto"/>
            <w:shd w:val="clear" w:color="auto" w:fill="00B0F0"/>
          </w:tcPr>
          <w:p w:rsidR="00054A9A" w:rsidRPr="005E7973" w:rsidRDefault="00054A9A" w:rsidP="00EC1497">
            <w:pPr>
              <w:autoSpaceDE/>
              <w:autoSpaceDN/>
              <w:rPr>
                <w:sz w:val="15"/>
                <w:szCs w:val="15"/>
                <w:lang w:val="en-CA"/>
              </w:rPr>
            </w:pPr>
          </w:p>
        </w:tc>
        <w:tc>
          <w:tcPr>
            <w:tcW w:w="0" w:type="auto"/>
          </w:tcPr>
          <w:p w:rsidR="00054A9A" w:rsidRPr="005E7973" w:rsidRDefault="00054A9A" w:rsidP="00EC1497">
            <w:pPr>
              <w:autoSpaceDE/>
              <w:autoSpaceDN/>
              <w:rPr>
                <w:sz w:val="15"/>
                <w:szCs w:val="15"/>
                <w:lang w:val="en-CA"/>
              </w:rPr>
            </w:pPr>
          </w:p>
        </w:tc>
        <w:tc>
          <w:tcPr>
            <w:tcW w:w="0" w:type="auto"/>
            <w:shd w:val="clear" w:color="auto" w:fill="00B0F0"/>
          </w:tcPr>
          <w:p w:rsidR="00054A9A" w:rsidRPr="005E7973" w:rsidRDefault="00054A9A" w:rsidP="00EC1497">
            <w:pPr>
              <w:autoSpaceDE/>
              <w:autoSpaceDN/>
              <w:rPr>
                <w:sz w:val="15"/>
                <w:szCs w:val="15"/>
                <w:lang w:val="en-CA"/>
              </w:rPr>
            </w:pPr>
          </w:p>
        </w:tc>
        <w:tc>
          <w:tcPr>
            <w:tcW w:w="0" w:type="auto"/>
            <w:shd w:val="clear" w:color="auto" w:fill="00B0F0"/>
          </w:tcPr>
          <w:p w:rsidR="00054A9A" w:rsidRPr="005E7973" w:rsidRDefault="00054A9A" w:rsidP="00EC1497">
            <w:pPr>
              <w:autoSpaceDE/>
              <w:autoSpaceDN/>
              <w:rPr>
                <w:sz w:val="15"/>
                <w:szCs w:val="15"/>
                <w:lang w:val="en-CA"/>
              </w:rPr>
            </w:pPr>
          </w:p>
        </w:tc>
      </w:tr>
      <w:tr w:rsidR="00054A9A" w:rsidRPr="005E7973" w:rsidTr="00EC1497">
        <w:tc>
          <w:tcPr>
            <w:tcW w:w="0" w:type="auto"/>
          </w:tcPr>
          <w:p w:rsidR="00054A9A" w:rsidRPr="005E7973" w:rsidRDefault="00054A9A" w:rsidP="00EC1497">
            <w:pPr>
              <w:autoSpaceDE/>
              <w:autoSpaceDN/>
              <w:rPr>
                <w:sz w:val="15"/>
                <w:szCs w:val="15"/>
                <w:lang w:val="en-CA"/>
              </w:rPr>
            </w:pPr>
            <w:r w:rsidRPr="005E7973">
              <w:rPr>
                <w:sz w:val="15"/>
                <w:szCs w:val="15"/>
                <w:lang w:val="en-CA"/>
              </w:rPr>
              <w:t>USA</w:t>
            </w:r>
          </w:p>
        </w:tc>
        <w:tc>
          <w:tcPr>
            <w:tcW w:w="0" w:type="auto"/>
          </w:tcPr>
          <w:p w:rsidR="00054A9A" w:rsidRPr="005E7973" w:rsidRDefault="00054A9A" w:rsidP="00EC1497">
            <w:pPr>
              <w:autoSpaceDE/>
              <w:autoSpaceDN/>
              <w:rPr>
                <w:sz w:val="15"/>
                <w:szCs w:val="15"/>
                <w:lang w:val="en-CA"/>
              </w:rPr>
            </w:pPr>
          </w:p>
        </w:tc>
        <w:tc>
          <w:tcPr>
            <w:tcW w:w="0" w:type="auto"/>
            <w:shd w:val="clear" w:color="auto" w:fill="92D050"/>
          </w:tcPr>
          <w:p w:rsidR="00054A9A" w:rsidRPr="005E7973" w:rsidRDefault="00054A9A" w:rsidP="00EC1497">
            <w:pPr>
              <w:autoSpaceDE/>
              <w:autoSpaceDN/>
              <w:rPr>
                <w:sz w:val="15"/>
                <w:szCs w:val="15"/>
                <w:lang w:val="en-CA"/>
              </w:rPr>
            </w:pPr>
          </w:p>
        </w:tc>
        <w:tc>
          <w:tcPr>
            <w:tcW w:w="0" w:type="auto"/>
          </w:tcPr>
          <w:p w:rsidR="00054A9A" w:rsidRPr="005E7973" w:rsidRDefault="00054A9A" w:rsidP="00EC1497">
            <w:pPr>
              <w:autoSpaceDE/>
              <w:autoSpaceDN/>
              <w:rPr>
                <w:sz w:val="15"/>
                <w:szCs w:val="15"/>
                <w:lang w:val="en-CA"/>
              </w:rPr>
            </w:pPr>
          </w:p>
        </w:tc>
        <w:tc>
          <w:tcPr>
            <w:tcW w:w="0" w:type="auto"/>
            <w:shd w:val="clear" w:color="auto" w:fill="92D050"/>
          </w:tcPr>
          <w:p w:rsidR="00054A9A" w:rsidRPr="005E7973" w:rsidRDefault="00054A9A" w:rsidP="00EC1497">
            <w:pPr>
              <w:autoSpaceDE/>
              <w:autoSpaceDN/>
              <w:rPr>
                <w:sz w:val="15"/>
                <w:szCs w:val="15"/>
                <w:lang w:val="en-CA"/>
              </w:rPr>
            </w:pPr>
          </w:p>
        </w:tc>
        <w:tc>
          <w:tcPr>
            <w:tcW w:w="0" w:type="auto"/>
            <w:shd w:val="clear" w:color="auto" w:fill="92D050"/>
          </w:tcPr>
          <w:p w:rsidR="00054A9A" w:rsidRPr="005E7973" w:rsidRDefault="00054A9A" w:rsidP="00EC1497">
            <w:pPr>
              <w:autoSpaceDE/>
              <w:autoSpaceDN/>
              <w:rPr>
                <w:sz w:val="15"/>
                <w:szCs w:val="15"/>
                <w:lang w:val="en-CA"/>
              </w:rPr>
            </w:pPr>
          </w:p>
        </w:tc>
        <w:tc>
          <w:tcPr>
            <w:tcW w:w="0" w:type="auto"/>
            <w:shd w:val="clear" w:color="auto" w:fill="92D050"/>
          </w:tcPr>
          <w:p w:rsidR="00054A9A" w:rsidRPr="005E7973" w:rsidRDefault="00054A9A" w:rsidP="00EC1497">
            <w:pPr>
              <w:autoSpaceDE/>
              <w:autoSpaceDN/>
              <w:rPr>
                <w:sz w:val="15"/>
                <w:szCs w:val="15"/>
                <w:lang w:val="en-CA"/>
              </w:rPr>
            </w:pPr>
          </w:p>
        </w:tc>
        <w:tc>
          <w:tcPr>
            <w:tcW w:w="0" w:type="auto"/>
            <w:shd w:val="clear" w:color="auto" w:fill="92D050"/>
          </w:tcPr>
          <w:p w:rsidR="00054A9A" w:rsidRPr="005E7973" w:rsidRDefault="00054A9A" w:rsidP="00EC1497">
            <w:pPr>
              <w:autoSpaceDE/>
              <w:autoSpaceDN/>
              <w:rPr>
                <w:sz w:val="15"/>
                <w:szCs w:val="15"/>
                <w:lang w:val="en-CA"/>
              </w:rPr>
            </w:pPr>
          </w:p>
        </w:tc>
        <w:tc>
          <w:tcPr>
            <w:tcW w:w="0" w:type="auto"/>
          </w:tcPr>
          <w:p w:rsidR="00054A9A" w:rsidRPr="005E7973" w:rsidRDefault="00054A9A" w:rsidP="00EC1497">
            <w:pPr>
              <w:autoSpaceDE/>
              <w:autoSpaceDN/>
              <w:rPr>
                <w:sz w:val="15"/>
                <w:szCs w:val="15"/>
                <w:lang w:val="en-CA"/>
              </w:rPr>
            </w:pPr>
          </w:p>
        </w:tc>
        <w:tc>
          <w:tcPr>
            <w:tcW w:w="0" w:type="auto"/>
          </w:tcPr>
          <w:p w:rsidR="00054A9A" w:rsidRPr="005E7973" w:rsidRDefault="00054A9A" w:rsidP="00EC1497">
            <w:pPr>
              <w:autoSpaceDE/>
              <w:autoSpaceDN/>
              <w:rPr>
                <w:sz w:val="15"/>
                <w:szCs w:val="15"/>
                <w:lang w:val="en-CA"/>
              </w:rPr>
            </w:pPr>
          </w:p>
        </w:tc>
        <w:tc>
          <w:tcPr>
            <w:tcW w:w="0" w:type="auto"/>
          </w:tcPr>
          <w:p w:rsidR="00054A9A" w:rsidRPr="005E7973" w:rsidRDefault="00054A9A" w:rsidP="00EC1497">
            <w:pPr>
              <w:autoSpaceDE/>
              <w:autoSpaceDN/>
              <w:rPr>
                <w:sz w:val="15"/>
                <w:szCs w:val="15"/>
                <w:lang w:val="en-CA"/>
              </w:rPr>
            </w:pPr>
          </w:p>
        </w:tc>
        <w:tc>
          <w:tcPr>
            <w:tcW w:w="0" w:type="auto"/>
            <w:shd w:val="clear" w:color="auto" w:fill="92D050"/>
          </w:tcPr>
          <w:p w:rsidR="00054A9A" w:rsidRPr="005E7973" w:rsidRDefault="00054A9A" w:rsidP="00EC1497">
            <w:pPr>
              <w:autoSpaceDE/>
              <w:autoSpaceDN/>
              <w:rPr>
                <w:sz w:val="15"/>
                <w:szCs w:val="15"/>
                <w:lang w:val="en-CA"/>
              </w:rPr>
            </w:pPr>
          </w:p>
        </w:tc>
      </w:tr>
    </w:tbl>
    <w:p w:rsidR="00EB5C9D" w:rsidRPr="00BF7DC2" w:rsidRDefault="00EB5C9D" w:rsidP="00EB5C9D">
      <w:pPr>
        <w:widowControl/>
        <w:tabs>
          <w:tab w:val="left" w:pos="1020"/>
          <w:tab w:val="left" w:pos="1871"/>
          <w:tab w:val="left" w:pos="2268"/>
        </w:tabs>
        <w:wordWrap/>
        <w:overflowPunct w:val="0"/>
        <w:adjustRightInd w:val="0"/>
        <w:spacing w:before="120" w:after="0" w:line="240" w:lineRule="auto"/>
        <w:jc w:val="left"/>
        <w:textAlignment w:val="baseline"/>
        <w:rPr>
          <w:rFonts w:ascii="Times New Roman" w:eastAsia="宋体" w:hAnsi="Times New Roman" w:cs="Times New Roman"/>
          <w:kern w:val="0"/>
          <w:sz w:val="24"/>
          <w:szCs w:val="20"/>
          <w:lang w:val="en-GB" w:eastAsia="zh-CN"/>
        </w:rPr>
      </w:pP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8E6B00" w:rsidRPr="00351D18" w:rsidRDefault="008E6B00" w:rsidP="004D7CC0">
      <w:pPr>
        <w:rPr>
          <w:rFonts w:ascii="Times New Roman" w:hAnsi="Times New Roman" w:cs="Times New Roman" w:hint="eastAsia"/>
          <w:sz w:val="24"/>
          <w:szCs w:val="24"/>
        </w:rPr>
      </w:pPr>
      <w:r w:rsidRPr="008E6B00">
        <w:rPr>
          <w:rFonts w:ascii="Times New Roman" w:hAnsi="Times New Roman" w:cs="Times New Roman" w:hint="eastAsia"/>
          <w:sz w:val="24"/>
          <w:szCs w:val="24"/>
        </w:rPr>
        <w:t>DG</w:t>
      </w:r>
      <w:r w:rsidR="009A6E9D" w:rsidRPr="00CA4FC0">
        <w:rPr>
          <w:rFonts w:ascii="Times New Roman" w:hAnsi="Times New Roman" w:cs="Times New Roman"/>
          <w:sz w:val="24"/>
          <w:szCs w:val="24"/>
        </w:rPr>
        <w:t xml:space="preserve"> </w:t>
      </w:r>
      <w:proofErr w:type="gramStart"/>
      <w:r w:rsidR="009A6E9D" w:rsidRPr="00CA4FC0">
        <w:rPr>
          <w:rFonts w:ascii="Times New Roman" w:hAnsi="Times New Roman" w:cs="Times New Roman"/>
          <w:sz w:val="24"/>
          <w:szCs w:val="24"/>
        </w:rPr>
        <w:t>6B1</w:t>
      </w:r>
      <w:r w:rsidRPr="008E6B00">
        <w:rPr>
          <w:rFonts w:ascii="Times New Roman" w:hAnsi="Times New Roman" w:cs="Times New Roman" w:hint="eastAsia"/>
          <w:sz w:val="24"/>
          <w:szCs w:val="24"/>
        </w:rPr>
        <w:t>c</w:t>
      </w:r>
      <w:r w:rsidR="007E716D" w:rsidRPr="007E716D">
        <w:rPr>
          <w:rFonts w:ascii="Times New Roman" w:hAnsi="Times New Roman" w:cs="Times New Roman" w:hint="eastAsia"/>
          <w:sz w:val="24"/>
          <w:szCs w:val="24"/>
        </w:rPr>
        <w:t>(</w:t>
      </w:r>
      <w:proofErr w:type="gramEnd"/>
      <w:r w:rsidR="007E716D" w:rsidRPr="007E716D">
        <w:rPr>
          <w:rFonts w:ascii="Times New Roman" w:hAnsi="Times New Roman" w:cs="Times New Roman" w:hint="eastAsia"/>
          <w:sz w:val="24"/>
          <w:szCs w:val="24"/>
        </w:rPr>
        <w:t>Satellite issues)</w:t>
      </w:r>
      <w:r w:rsidR="009A6E9D" w:rsidRPr="00CA4FC0">
        <w:rPr>
          <w:rFonts w:ascii="Times New Roman" w:hAnsi="Times New Roman" w:cs="Times New Roman"/>
          <w:sz w:val="24"/>
          <w:szCs w:val="24"/>
        </w:rPr>
        <w:t xml:space="preserve"> meeting </w:t>
      </w:r>
      <w:r w:rsidR="00CA4FC0">
        <w:rPr>
          <w:rFonts w:ascii="Times New Roman" w:hAnsi="Times New Roman" w:cs="Times New Roman"/>
          <w:sz w:val="24"/>
          <w:szCs w:val="24"/>
        </w:rPr>
        <w:t>(</w:t>
      </w:r>
      <w:r w:rsidRPr="008E6B00">
        <w:rPr>
          <w:rFonts w:ascii="Times New Roman" w:hAnsi="Times New Roman" w:cs="Times New Roman" w:hint="eastAsia"/>
          <w:sz w:val="24"/>
          <w:szCs w:val="24"/>
        </w:rPr>
        <w:t>10</w:t>
      </w:r>
      <w:r w:rsidR="009A6E9D" w:rsidRPr="00137F4E">
        <w:rPr>
          <w:rFonts w:ascii="Times New Roman" w:hAnsi="Times New Roman" w:cs="Times New Roman"/>
          <w:sz w:val="24"/>
          <w:szCs w:val="24"/>
        </w:rPr>
        <w:t>th</w:t>
      </w:r>
      <w:r w:rsidR="00EB5C9D" w:rsidRPr="00137F4E">
        <w:rPr>
          <w:rFonts w:ascii="Times New Roman" w:hAnsi="Times New Roman" w:cs="Times New Roman" w:hint="eastAsia"/>
          <w:sz w:val="24"/>
          <w:szCs w:val="24"/>
        </w:rPr>
        <w:t xml:space="preserve"> </w:t>
      </w:r>
      <w:r w:rsidR="009A6E9D" w:rsidRPr="00CA4FC0">
        <w:rPr>
          <w:rFonts w:ascii="Times New Roman" w:hAnsi="Times New Roman" w:cs="Times New Roman"/>
          <w:sz w:val="24"/>
          <w:szCs w:val="24"/>
        </w:rPr>
        <w:t>Nov.</w:t>
      </w:r>
      <w:r w:rsidR="00CA4FC0">
        <w:rPr>
          <w:rFonts w:ascii="Times New Roman" w:hAnsi="Times New Roman" w:cs="Times New Roman"/>
          <w:sz w:val="24"/>
          <w:szCs w:val="24"/>
        </w:rPr>
        <w:t xml:space="preserve"> session </w:t>
      </w:r>
      <w:r w:rsidRPr="008E6B00">
        <w:rPr>
          <w:rFonts w:ascii="Times New Roman" w:hAnsi="Times New Roman" w:cs="Times New Roman" w:hint="eastAsia"/>
          <w:sz w:val="24"/>
          <w:szCs w:val="24"/>
        </w:rPr>
        <w:t>4</w:t>
      </w:r>
      <w:r w:rsidR="00CA4FC0">
        <w:rPr>
          <w:rFonts w:ascii="Times New Roman" w:hAnsi="Times New Roman" w:cs="Times New Roman"/>
          <w:sz w:val="24"/>
          <w:szCs w:val="24"/>
        </w:rPr>
        <w:t>)</w:t>
      </w:r>
      <w:r w:rsidR="009A6E9D" w:rsidRPr="00CA4FC0">
        <w:rPr>
          <w:rFonts w:ascii="Times New Roman" w:hAnsi="Times New Roman" w:cs="Times New Roman"/>
          <w:sz w:val="24"/>
          <w:szCs w:val="24"/>
        </w:rPr>
        <w:t xml:space="preserve"> </w:t>
      </w:r>
      <w:r w:rsidRPr="008E6B00">
        <w:rPr>
          <w:rFonts w:ascii="Times New Roman" w:hAnsi="Times New Roman" w:cs="Times New Roman" w:hint="eastAsia"/>
          <w:sz w:val="24"/>
          <w:szCs w:val="24"/>
        </w:rPr>
        <w:t xml:space="preserve">has completed the discussion on this topic. Since many </w:t>
      </w:r>
      <w:r w:rsidR="007E716D" w:rsidRPr="007E716D">
        <w:rPr>
          <w:rFonts w:ascii="Times New Roman" w:hAnsi="Times New Roman" w:cs="Times New Roman" w:hint="eastAsia"/>
          <w:sz w:val="24"/>
          <w:szCs w:val="24"/>
        </w:rPr>
        <w:t xml:space="preserve">countries have serious concern about this proposal, the frequency bands and </w:t>
      </w:r>
      <w:r w:rsidR="00351D18" w:rsidRPr="00351D18">
        <w:rPr>
          <w:rFonts w:ascii="Times New Roman" w:hAnsi="Times New Roman" w:cs="Times New Roman" w:hint="eastAsia"/>
          <w:sz w:val="24"/>
          <w:szCs w:val="24"/>
        </w:rPr>
        <w:t xml:space="preserve">the </w:t>
      </w:r>
      <w:r w:rsidR="00351D18" w:rsidRPr="00351D18">
        <w:rPr>
          <w:rFonts w:ascii="Times New Roman" w:hAnsi="Times New Roman" w:cs="Times New Roman"/>
          <w:sz w:val="24"/>
          <w:szCs w:val="24"/>
        </w:rPr>
        <w:t>resolve</w:t>
      </w:r>
      <w:r w:rsidR="00351D18" w:rsidRPr="00351D18">
        <w:rPr>
          <w:rFonts w:ascii="Times New Roman" w:hAnsi="Times New Roman" w:cs="Times New Roman" w:hint="eastAsia"/>
          <w:sz w:val="24"/>
          <w:szCs w:val="24"/>
        </w:rPr>
        <w:t xml:space="preserve"> part of the </w:t>
      </w:r>
      <w:r w:rsidR="00351D18" w:rsidRPr="00351D18">
        <w:rPr>
          <w:rFonts w:ascii="Times New Roman" w:hAnsi="Times New Roman" w:cs="Times New Roman"/>
          <w:sz w:val="24"/>
          <w:szCs w:val="24"/>
        </w:rPr>
        <w:t xml:space="preserve">new resolution are kept in square </w:t>
      </w:r>
      <w:r w:rsidR="00351D18" w:rsidRPr="00351D18">
        <w:rPr>
          <w:rFonts w:ascii="Times New Roman" w:hAnsi="Times New Roman" w:cs="Times New Roman" w:hint="eastAsia"/>
          <w:sz w:val="24"/>
          <w:szCs w:val="24"/>
        </w:rPr>
        <w:t>bracket.</w:t>
      </w:r>
    </w:p>
    <w:p w:rsidR="008742F3" w:rsidRPr="00351D18" w:rsidRDefault="008742F3" w:rsidP="00086F2C">
      <w:pPr>
        <w:pStyle w:val="a3"/>
        <w:numPr>
          <w:ilvl w:val="0"/>
          <w:numId w:val="1"/>
        </w:numPr>
        <w:ind w:leftChars="0" w:left="360"/>
        <w:rPr>
          <w:rFonts w:hint="eastAsia"/>
        </w:rPr>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p>
    <w:p w:rsidR="00351D18" w:rsidRPr="00457913" w:rsidRDefault="000C4246" w:rsidP="000C4246">
      <w:pPr>
        <w:rPr>
          <w:rFonts w:ascii="Times New Roman" w:hAnsi="Times New Roman" w:cs="Times New Roman" w:hint="eastAsia"/>
          <w:sz w:val="24"/>
          <w:szCs w:val="24"/>
        </w:rPr>
      </w:pPr>
      <w:r w:rsidRPr="000C4246">
        <w:rPr>
          <w:rFonts w:ascii="Times New Roman" w:hAnsi="Times New Roman" w:cs="Times New Roman" w:hint="eastAsia"/>
          <w:sz w:val="24"/>
          <w:szCs w:val="24"/>
        </w:rPr>
        <w:t xml:space="preserve">Considering the </w:t>
      </w:r>
      <w:r w:rsidRPr="008E6B00">
        <w:rPr>
          <w:rFonts w:ascii="Times New Roman" w:hAnsi="Times New Roman" w:cs="Times New Roman" w:hint="eastAsia"/>
          <w:sz w:val="24"/>
          <w:szCs w:val="24"/>
        </w:rPr>
        <w:t>frequency bands under discussion</w:t>
      </w:r>
      <w:r w:rsidRPr="000C4246">
        <w:rPr>
          <w:rFonts w:ascii="Times New Roman" w:hAnsi="Times New Roman" w:cs="Times New Roman" w:hint="eastAsia"/>
          <w:sz w:val="24"/>
          <w:szCs w:val="24"/>
        </w:rPr>
        <w:t xml:space="preserve"> on this topic involve </w:t>
      </w:r>
      <w:r w:rsidRPr="00457913">
        <w:rPr>
          <w:rFonts w:ascii="Times New Roman" w:hAnsi="Times New Roman" w:cs="Times New Roman" w:hint="eastAsia"/>
          <w:sz w:val="24"/>
          <w:szCs w:val="24"/>
        </w:rPr>
        <w:t xml:space="preserve">so </w:t>
      </w:r>
      <w:r w:rsidRPr="000C4246">
        <w:rPr>
          <w:rFonts w:ascii="Times New Roman" w:hAnsi="Times New Roman" w:cs="Times New Roman" w:hint="eastAsia"/>
          <w:sz w:val="24"/>
          <w:szCs w:val="24"/>
        </w:rPr>
        <w:t xml:space="preserve">many </w:t>
      </w:r>
      <w:r w:rsidRPr="000C4246">
        <w:rPr>
          <w:rFonts w:ascii="Times New Roman" w:hAnsi="Times New Roman" w:cs="Times New Roman"/>
          <w:sz w:val="24"/>
          <w:szCs w:val="24"/>
        </w:rPr>
        <w:t>incumbent</w:t>
      </w:r>
      <w:r w:rsidRPr="000C4246">
        <w:rPr>
          <w:rFonts w:ascii="Times New Roman" w:hAnsi="Times New Roman" w:cs="Times New Roman" w:hint="eastAsia"/>
          <w:sz w:val="24"/>
          <w:szCs w:val="24"/>
        </w:rPr>
        <w:t xml:space="preserve"> </w:t>
      </w:r>
      <w:r w:rsidRPr="000C4246">
        <w:rPr>
          <w:rFonts w:ascii="Times New Roman" w:hAnsi="Times New Roman" w:cs="Times New Roman"/>
          <w:sz w:val="24"/>
          <w:szCs w:val="24"/>
        </w:rPr>
        <w:t>service</w:t>
      </w:r>
      <w:r w:rsidRPr="00457913">
        <w:rPr>
          <w:rFonts w:ascii="Times New Roman" w:hAnsi="Times New Roman" w:cs="Times New Roman" w:hint="eastAsia"/>
          <w:sz w:val="24"/>
          <w:szCs w:val="24"/>
        </w:rPr>
        <w:t>s</w:t>
      </w:r>
      <w:r w:rsidRPr="000C4246">
        <w:rPr>
          <w:rFonts w:ascii="Times New Roman" w:hAnsi="Times New Roman" w:cs="Times New Roman" w:hint="eastAsia"/>
          <w:sz w:val="24"/>
          <w:szCs w:val="24"/>
        </w:rPr>
        <w:t xml:space="preserve"> both in the same frequency bands and the </w:t>
      </w:r>
      <w:r w:rsidRPr="000C4246">
        <w:rPr>
          <w:rFonts w:ascii="Times New Roman" w:hAnsi="Times New Roman" w:cs="Times New Roman"/>
          <w:sz w:val="24"/>
          <w:szCs w:val="24"/>
        </w:rPr>
        <w:t>adjacent</w:t>
      </w:r>
      <w:r w:rsidRPr="000C4246">
        <w:rPr>
          <w:rFonts w:ascii="Times New Roman" w:hAnsi="Times New Roman" w:cs="Times New Roman" w:hint="eastAsia"/>
          <w:sz w:val="24"/>
          <w:szCs w:val="24"/>
        </w:rPr>
        <w:t xml:space="preserve"> bands, such as </w:t>
      </w:r>
      <w:r w:rsidR="00457913" w:rsidRPr="00457913">
        <w:rPr>
          <w:rFonts w:ascii="Times New Roman" w:hAnsi="Times New Roman" w:cs="Times New Roman" w:hint="eastAsia"/>
          <w:sz w:val="24"/>
          <w:szCs w:val="24"/>
        </w:rPr>
        <w:t>FS, MS, MSS, SOS, RNSS, RDSS, Radio Astronomy, Aeronautical Radionavigation</w:t>
      </w:r>
      <w:r w:rsidR="00457913">
        <w:rPr>
          <w:rFonts w:ascii="Times New Roman" w:hAnsi="Times New Roman" w:cs="Times New Roman" w:hint="eastAsia"/>
          <w:sz w:val="24"/>
          <w:szCs w:val="24"/>
        </w:rPr>
        <w:t xml:space="preserve"> and so on</w:t>
      </w:r>
      <w:r w:rsidR="00457913" w:rsidRPr="00457913">
        <w:rPr>
          <w:rFonts w:ascii="Times New Roman" w:hAnsi="Times New Roman" w:cs="Times New Roman" w:hint="eastAsia"/>
          <w:sz w:val="24"/>
          <w:szCs w:val="24"/>
        </w:rPr>
        <w:t>, does APT members also have concern on this topic and want to express views in the meeting</w:t>
      </w:r>
      <w:r w:rsidR="00457913" w:rsidRPr="00457913">
        <w:rPr>
          <w:rFonts w:ascii="Times New Roman" w:hAnsi="Times New Roman" w:cs="Times New Roman" w:hint="eastAsia"/>
          <w:sz w:val="24"/>
          <w:szCs w:val="24"/>
        </w:rPr>
        <w:t>？</w:t>
      </w:r>
    </w:p>
    <w:p w:rsidR="00C82B13" w:rsidRPr="00C82B13" w:rsidRDefault="00C82B13" w:rsidP="00C82B13">
      <w:pPr>
        <w:rPr>
          <w:rFonts w:ascii="Times New Roman" w:hAnsi="Times New Roman" w:cs="Times New Roman"/>
          <w:sz w:val="24"/>
          <w:szCs w:val="24"/>
        </w:rPr>
      </w:pPr>
      <w:bookmarkStart w:id="0" w:name="_GoBack"/>
      <w:bookmarkEnd w:id="0"/>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w:t>
      </w:r>
      <w:r w:rsidRPr="00C82B13">
        <w:rPr>
          <w:rFonts w:ascii="Times New Roman" w:hAnsi="Times New Roman" w:cs="Times New Roman"/>
          <w:i/>
          <w:sz w:val="24"/>
          <w:szCs w:val="24"/>
        </w:rPr>
        <w:lastRenderedPageBreak/>
        <w:t xml:space="preserve">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3E" w:rsidRDefault="0076463E" w:rsidP="00D1517A">
      <w:pPr>
        <w:spacing w:after="0" w:line="240" w:lineRule="auto"/>
      </w:pPr>
      <w:r>
        <w:separator/>
      </w:r>
    </w:p>
  </w:endnote>
  <w:endnote w:type="continuationSeparator" w:id="0">
    <w:p w:rsidR="0076463E" w:rsidRDefault="0076463E"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3E" w:rsidRDefault="0076463E" w:rsidP="00D1517A">
      <w:pPr>
        <w:spacing w:after="0" w:line="240" w:lineRule="auto"/>
      </w:pPr>
      <w:r>
        <w:separator/>
      </w:r>
    </w:p>
  </w:footnote>
  <w:footnote w:type="continuationSeparator" w:id="0">
    <w:p w:rsidR="0076463E" w:rsidRDefault="0076463E"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67D"/>
    <w:multiLevelType w:val="hybridMultilevel"/>
    <w:tmpl w:val="94F884C2"/>
    <w:lvl w:ilvl="0" w:tplc="84FACA68">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F306981"/>
    <w:multiLevelType w:val="hybridMultilevel"/>
    <w:tmpl w:val="7974D7DC"/>
    <w:lvl w:ilvl="0" w:tplc="B7863A5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1604AE4"/>
    <w:multiLevelType w:val="hybridMultilevel"/>
    <w:tmpl w:val="0DE2FB5A"/>
    <w:lvl w:ilvl="0" w:tplc="08E0FB0E">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0A5145C"/>
    <w:multiLevelType w:val="hybridMultilevel"/>
    <w:tmpl w:val="7EF4C30E"/>
    <w:lvl w:ilvl="0" w:tplc="373AF5C8">
      <w:start w:val="4"/>
      <w:numFmt w:val="bullet"/>
      <w:lvlText w:val=""/>
      <w:lvlJc w:val="left"/>
      <w:pPr>
        <w:ind w:left="360" w:hanging="36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E411C6D"/>
    <w:multiLevelType w:val="hybridMultilevel"/>
    <w:tmpl w:val="7A9C2504"/>
    <w:lvl w:ilvl="0" w:tplc="A022A0F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46B37"/>
    <w:rsid w:val="00054A9A"/>
    <w:rsid w:val="00086F2C"/>
    <w:rsid w:val="000B5983"/>
    <w:rsid w:val="000C4246"/>
    <w:rsid w:val="000E6861"/>
    <w:rsid w:val="00137F4E"/>
    <w:rsid w:val="001512E5"/>
    <w:rsid w:val="001A1F17"/>
    <w:rsid w:val="001B484F"/>
    <w:rsid w:val="001E0789"/>
    <w:rsid w:val="00283D24"/>
    <w:rsid w:val="00307D84"/>
    <w:rsid w:val="003346ED"/>
    <w:rsid w:val="00351D18"/>
    <w:rsid w:val="004354DE"/>
    <w:rsid w:val="0043618A"/>
    <w:rsid w:val="00457913"/>
    <w:rsid w:val="004A0441"/>
    <w:rsid w:val="004A574B"/>
    <w:rsid w:val="004D7CC0"/>
    <w:rsid w:val="004F28D4"/>
    <w:rsid w:val="005545DE"/>
    <w:rsid w:val="005755E6"/>
    <w:rsid w:val="005A1AD1"/>
    <w:rsid w:val="005B7FB1"/>
    <w:rsid w:val="005D4898"/>
    <w:rsid w:val="005E7265"/>
    <w:rsid w:val="00606A7B"/>
    <w:rsid w:val="00640D12"/>
    <w:rsid w:val="00676411"/>
    <w:rsid w:val="00677357"/>
    <w:rsid w:val="00683E04"/>
    <w:rsid w:val="00693E1C"/>
    <w:rsid w:val="006F1D1A"/>
    <w:rsid w:val="0076463E"/>
    <w:rsid w:val="007E716D"/>
    <w:rsid w:val="008742F3"/>
    <w:rsid w:val="008E6B00"/>
    <w:rsid w:val="00922B81"/>
    <w:rsid w:val="009A6E9D"/>
    <w:rsid w:val="009B362E"/>
    <w:rsid w:val="009D144D"/>
    <w:rsid w:val="009E27EC"/>
    <w:rsid w:val="00AC461C"/>
    <w:rsid w:val="00B911D1"/>
    <w:rsid w:val="00BC1146"/>
    <w:rsid w:val="00BE204A"/>
    <w:rsid w:val="00BF7DC2"/>
    <w:rsid w:val="00C26FDC"/>
    <w:rsid w:val="00C6629B"/>
    <w:rsid w:val="00C750CB"/>
    <w:rsid w:val="00C82B13"/>
    <w:rsid w:val="00CA4FC0"/>
    <w:rsid w:val="00D04BE9"/>
    <w:rsid w:val="00D1517A"/>
    <w:rsid w:val="00DC6CF3"/>
    <w:rsid w:val="00E507A7"/>
    <w:rsid w:val="00E77EB3"/>
    <w:rsid w:val="00EA1B34"/>
    <w:rsid w:val="00EB5C9D"/>
    <w:rsid w:val="00EC68D5"/>
    <w:rsid w:val="00EF7969"/>
    <w:rsid w:val="00F80765"/>
    <w:rsid w:val="00F91B6A"/>
    <w:rsid w:val="00F9397B"/>
    <w:rsid w:val="00FF288C"/>
    <w:rsid w:val="00FF62D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character" w:styleId="a6">
    <w:name w:val="Hyperlink"/>
    <w:basedOn w:val="a0"/>
    <w:unhideWhenUsed/>
    <w:rsid w:val="00DC6CF3"/>
    <w:rPr>
      <w:color w:val="0563C1" w:themeColor="hyperlink"/>
      <w:u w:val="single"/>
    </w:rPr>
  </w:style>
  <w:style w:type="table" w:styleId="a7">
    <w:name w:val="Table Grid"/>
    <w:basedOn w:val="a1"/>
    <w:uiPriority w:val="39"/>
    <w:rsid w:val="009A6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next w:val="a"/>
    <w:rsid w:val="00B911D1"/>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hAnsi="Times New Roman Bold" w:cs="Times New Roman"/>
      <w:b/>
      <w:kern w:val="0"/>
      <w:sz w:val="24"/>
      <w:szCs w:val="20"/>
      <w:lang w:val="en-GB" w:eastAsia="en-US"/>
    </w:rPr>
  </w:style>
  <w:style w:type="character" w:customStyle="1" w:styleId="BRNormal">
    <w:name w:val="BR_Normal"/>
    <w:basedOn w:val="a0"/>
    <w:uiPriority w:val="1"/>
    <w:qFormat/>
    <w:rsid w:val="00BF7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character" w:styleId="a6">
    <w:name w:val="Hyperlink"/>
    <w:basedOn w:val="a0"/>
    <w:unhideWhenUsed/>
    <w:rsid w:val="00DC6CF3"/>
    <w:rPr>
      <w:color w:val="0563C1" w:themeColor="hyperlink"/>
      <w:u w:val="single"/>
    </w:rPr>
  </w:style>
  <w:style w:type="table" w:styleId="a7">
    <w:name w:val="Table Grid"/>
    <w:basedOn w:val="a1"/>
    <w:uiPriority w:val="39"/>
    <w:rsid w:val="009A6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next w:val="a"/>
    <w:rsid w:val="00B911D1"/>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hAnsi="Times New Roman Bold" w:cs="Times New Roman"/>
      <w:b/>
      <w:kern w:val="0"/>
      <w:sz w:val="24"/>
      <w:szCs w:val="20"/>
      <w:lang w:val="en-GB" w:eastAsia="en-US"/>
    </w:rPr>
  </w:style>
  <w:style w:type="character" w:customStyle="1" w:styleId="BRNormal">
    <w:name w:val="BR_Normal"/>
    <w:basedOn w:val="a0"/>
    <w:uiPriority w:val="1"/>
    <w:qFormat/>
    <w:rsid w:val="00BF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89868">
      <w:bodyDiv w:val="1"/>
      <w:marLeft w:val="0"/>
      <w:marRight w:val="0"/>
      <w:marTop w:val="0"/>
      <w:marBottom w:val="0"/>
      <w:divBdr>
        <w:top w:val="none" w:sz="0" w:space="0" w:color="auto"/>
        <w:left w:val="none" w:sz="0" w:space="0" w:color="auto"/>
        <w:bottom w:val="none" w:sz="0" w:space="0" w:color="auto"/>
        <w:right w:val="none" w:sz="0" w:space="0" w:color="auto"/>
      </w:divBdr>
    </w:div>
    <w:div w:id="1130126167">
      <w:bodyDiv w:val="1"/>
      <w:marLeft w:val="0"/>
      <w:marRight w:val="0"/>
      <w:marTop w:val="0"/>
      <w:marBottom w:val="0"/>
      <w:divBdr>
        <w:top w:val="none" w:sz="0" w:space="0" w:color="auto"/>
        <w:left w:val="none" w:sz="0" w:space="0" w:color="auto"/>
        <w:bottom w:val="none" w:sz="0" w:space="0" w:color="auto"/>
        <w:right w:val="none" w:sz="0" w:space="0" w:color="auto"/>
      </w:divBdr>
    </w:div>
    <w:div w:id="1526361288">
      <w:bodyDiv w:val="1"/>
      <w:marLeft w:val="0"/>
      <w:marRight w:val="0"/>
      <w:marTop w:val="0"/>
      <w:marBottom w:val="0"/>
      <w:divBdr>
        <w:top w:val="none" w:sz="0" w:space="0" w:color="auto"/>
        <w:left w:val="none" w:sz="0" w:space="0" w:color="auto"/>
        <w:bottom w:val="none" w:sz="0" w:space="0" w:color="auto"/>
        <w:right w:val="none" w:sz="0" w:space="0" w:color="auto"/>
      </w:divBdr>
    </w:div>
    <w:div w:id="1905866805">
      <w:bodyDiv w:val="1"/>
      <w:marLeft w:val="0"/>
      <w:marRight w:val="0"/>
      <w:marTop w:val="0"/>
      <w:marBottom w:val="0"/>
      <w:divBdr>
        <w:top w:val="none" w:sz="0" w:space="0" w:color="auto"/>
        <w:left w:val="none" w:sz="0" w:space="0" w:color="auto"/>
        <w:bottom w:val="none" w:sz="0" w:space="0" w:color="auto"/>
        <w:right w:val="none" w:sz="0" w:space="0" w:color="auto"/>
      </w:divBdr>
    </w:div>
    <w:div w:id="20706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vboya@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2C583-986D-4DE6-A90C-BBA8E065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334</Words>
  <Characters>1907</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cp:lastModifiedBy>
  <cp:revision>10</cp:revision>
  <dcterms:created xsi:type="dcterms:W3CDTF">2019-11-11T06:01:00Z</dcterms:created>
  <dcterms:modified xsi:type="dcterms:W3CDTF">2019-11-11T06:34:00Z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1572849197</vt:lpwstr>
  </property>
</Properties>
</file>