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0C0" w:rsidRDefault="00437EEC" w:rsidP="00437EEC">
      <w:pPr>
        <w:jc w:val="center"/>
      </w:pPr>
      <w:r>
        <w:t>WRC-23 Agenda</w:t>
      </w:r>
    </w:p>
    <w:p w:rsidR="00437EEC" w:rsidRDefault="00437EEC" w:rsidP="00437EEC">
      <w:pPr>
        <w:jc w:val="center"/>
      </w:pPr>
    </w:p>
    <w:tbl>
      <w:tblPr>
        <w:tblStyle w:val="TableGrid"/>
        <w:tblW w:w="13770" w:type="dxa"/>
        <w:tblInd w:w="-820" w:type="dxa"/>
        <w:tblLook w:val="04A0" w:firstRow="1" w:lastRow="0" w:firstColumn="1" w:lastColumn="0" w:noHBand="0" w:noVBand="1"/>
      </w:tblPr>
      <w:tblGrid>
        <w:gridCol w:w="803"/>
        <w:gridCol w:w="1285"/>
        <w:gridCol w:w="8319"/>
        <w:gridCol w:w="3363"/>
      </w:tblGrid>
      <w:tr w:rsidR="009F51F4" w:rsidTr="009F51F4">
        <w:tc>
          <w:tcPr>
            <w:tcW w:w="815" w:type="dxa"/>
          </w:tcPr>
          <w:p w:rsidR="009F51F4" w:rsidRDefault="009F51F4" w:rsidP="00437EEC">
            <w:pPr>
              <w:jc w:val="both"/>
            </w:pPr>
            <w:r>
              <w:t>No.</w:t>
            </w:r>
          </w:p>
        </w:tc>
        <w:tc>
          <w:tcPr>
            <w:tcW w:w="900" w:type="dxa"/>
          </w:tcPr>
          <w:p w:rsidR="009F51F4" w:rsidRDefault="009F51F4" w:rsidP="00437EEC">
            <w:pPr>
              <w:jc w:val="both"/>
            </w:pPr>
          </w:p>
        </w:tc>
        <w:tc>
          <w:tcPr>
            <w:tcW w:w="8589" w:type="dxa"/>
          </w:tcPr>
          <w:p w:rsidR="009F51F4" w:rsidRDefault="009F51F4" w:rsidP="00437EEC">
            <w:pPr>
              <w:jc w:val="both"/>
            </w:pPr>
            <w:r>
              <w:t>Agenda</w:t>
            </w:r>
          </w:p>
        </w:tc>
        <w:tc>
          <w:tcPr>
            <w:tcW w:w="3466" w:type="dxa"/>
          </w:tcPr>
          <w:p w:rsidR="009F51F4" w:rsidRDefault="009F51F4" w:rsidP="00437EEC">
            <w:pPr>
              <w:jc w:val="both"/>
            </w:pPr>
            <w:r>
              <w:t>Remarks</w:t>
            </w:r>
          </w:p>
        </w:tc>
      </w:tr>
      <w:tr w:rsidR="009F51F4" w:rsidTr="009F51F4">
        <w:tc>
          <w:tcPr>
            <w:tcW w:w="815" w:type="dxa"/>
          </w:tcPr>
          <w:p w:rsidR="009F51F4" w:rsidRDefault="009F51F4" w:rsidP="00437EEC">
            <w:pPr>
              <w:jc w:val="both"/>
            </w:pPr>
            <w:r>
              <w:t>1</w:t>
            </w:r>
          </w:p>
        </w:tc>
        <w:tc>
          <w:tcPr>
            <w:tcW w:w="900" w:type="dxa"/>
          </w:tcPr>
          <w:p w:rsidR="009F51F4" w:rsidRDefault="009F51F4" w:rsidP="008F40E1">
            <w:pPr>
              <w:pStyle w:val="Proposal"/>
            </w:pPr>
          </w:p>
        </w:tc>
        <w:tc>
          <w:tcPr>
            <w:tcW w:w="8589" w:type="dxa"/>
          </w:tcPr>
          <w:p w:rsidR="009F51F4" w:rsidRDefault="009F51F4" w:rsidP="008F40E1">
            <w:pPr>
              <w:pStyle w:val="Proposal"/>
            </w:pPr>
            <w:r>
              <w:t>ADD</w:t>
            </w:r>
            <w:r>
              <w:tab/>
              <w:t>AHG4-1/363/3</w:t>
            </w:r>
            <w:r>
              <w:rPr>
                <w:vanish/>
                <w:color w:val="7F7F7F" w:themeColor="text1" w:themeTint="80"/>
                <w:vertAlign w:val="superscript"/>
              </w:rPr>
              <w:t>#75396</w:t>
            </w:r>
          </w:p>
          <w:p w:rsidR="009F51F4" w:rsidRDefault="009F51F4" w:rsidP="008F40E1">
            <w:r w:rsidRPr="00603591">
              <w:t>1.[XXX]</w:t>
            </w:r>
            <w:r w:rsidRPr="00603591">
              <w:tab/>
              <w:t>to consider, based on the results of the ITU</w:t>
            </w:r>
            <w:r>
              <w:noBreakHyphen/>
            </w:r>
            <w:r w:rsidRPr="00603591">
              <w:t>R studies, possible measures to address, in the frequency band 4</w:t>
            </w:r>
            <w:r>
              <w:t> </w:t>
            </w:r>
            <w:r w:rsidRPr="00603591">
              <w:t>800-4</w:t>
            </w:r>
            <w:r>
              <w:t> </w:t>
            </w:r>
            <w:r w:rsidRPr="00603591">
              <w:t>990</w:t>
            </w:r>
            <w:r>
              <w:t> </w:t>
            </w:r>
            <w:r w:rsidRPr="00603591">
              <w:t>MHz, protection of stations of aeronautical and maritime mobile service located in the international airspace and water from other stations located within national territories and to review the pfd criteria in No.</w:t>
            </w:r>
            <w:r>
              <w:t> </w:t>
            </w:r>
            <w:r w:rsidRPr="00603591">
              <w:rPr>
                <w:b/>
                <w:bCs/>
              </w:rPr>
              <w:t>5.441B</w:t>
            </w:r>
            <w:r w:rsidRPr="00603591">
              <w:t xml:space="preserve"> in accordance with Resolution </w:t>
            </w:r>
            <w:r w:rsidRPr="00603591">
              <w:rPr>
                <w:b/>
                <w:bCs/>
              </w:rPr>
              <w:t>223</w:t>
            </w:r>
            <w:r>
              <w:rPr>
                <w:b/>
                <w:bCs/>
              </w:rPr>
              <w:t xml:space="preserve"> </w:t>
            </w:r>
            <w:r w:rsidRPr="00603591">
              <w:rPr>
                <w:b/>
                <w:bCs/>
              </w:rPr>
              <w:t>(Rev.WRC</w:t>
            </w:r>
            <w:r>
              <w:rPr>
                <w:b/>
                <w:bCs/>
              </w:rPr>
              <w:noBreakHyphen/>
            </w:r>
            <w:r w:rsidRPr="00603591">
              <w:rPr>
                <w:b/>
                <w:bCs/>
              </w:rPr>
              <w:t>19)</w:t>
            </w:r>
            <w:r w:rsidRPr="00603591">
              <w:t>;</w:t>
            </w:r>
            <w:r>
              <w:t xml:space="preserve"> </w:t>
            </w:r>
          </w:p>
          <w:p w:rsidR="009F51F4" w:rsidRPr="008F40E1" w:rsidRDefault="009F51F4" w:rsidP="00437EEC">
            <w:pPr>
              <w:jc w:val="both"/>
              <w:rPr>
                <w:lang w:val="en-GB"/>
              </w:rPr>
            </w:pPr>
          </w:p>
        </w:tc>
        <w:tc>
          <w:tcPr>
            <w:tcW w:w="3466" w:type="dxa"/>
          </w:tcPr>
          <w:p w:rsidR="009F51F4" w:rsidRDefault="009F51F4" w:rsidP="00437EEC">
            <w:pPr>
              <w:jc w:val="both"/>
            </w:pPr>
          </w:p>
        </w:tc>
      </w:tr>
      <w:tr w:rsidR="000620BA" w:rsidTr="009F51F4">
        <w:tc>
          <w:tcPr>
            <w:tcW w:w="815" w:type="dxa"/>
          </w:tcPr>
          <w:p w:rsidR="009F51F4" w:rsidRDefault="009F51F4" w:rsidP="009F51F4">
            <w:pPr>
              <w:jc w:val="both"/>
            </w:pPr>
            <w:r>
              <w:t>2</w:t>
            </w:r>
          </w:p>
        </w:tc>
        <w:tc>
          <w:tcPr>
            <w:tcW w:w="900" w:type="dxa"/>
          </w:tcPr>
          <w:p w:rsidR="009F51F4" w:rsidRDefault="009F51F4" w:rsidP="009F51F4">
            <w:pPr>
              <w:jc w:val="both"/>
            </w:pPr>
            <w:r>
              <w:t>IMT</w:t>
            </w:r>
          </w:p>
        </w:tc>
        <w:tc>
          <w:tcPr>
            <w:tcW w:w="8589" w:type="dxa"/>
          </w:tcPr>
          <w:p w:rsidR="009F51F4" w:rsidRPr="008F40E1" w:rsidRDefault="009F51F4" w:rsidP="009F51F4">
            <w:pPr>
              <w:jc w:val="both"/>
              <w:rPr>
                <w:rFonts w:eastAsia="MS Mincho" w:cstheme="minorHAnsi"/>
                <w:bCs/>
              </w:rPr>
            </w:pPr>
            <w:r w:rsidRPr="008F40E1">
              <w:rPr>
                <w:rFonts w:eastAsia="MS Mincho" w:cstheme="minorHAnsi"/>
                <w:bCs/>
              </w:rPr>
              <w:t xml:space="preserve">to consider identification of the following frequency bands [TBD] for International Mobile Telecommunications (IMT) [, including possible additional allocations to the mobile service on a primary basis,] in accordance with Resolution </w:t>
            </w:r>
            <w:r w:rsidRPr="008F40E1">
              <w:rPr>
                <w:rFonts w:eastAsia="MS Mincho" w:cstheme="minorHAnsi"/>
                <w:b/>
              </w:rPr>
              <w:t>[IMT-WRC-23] (WRC-19)</w:t>
            </w:r>
            <w:r w:rsidRPr="008F40E1">
              <w:rPr>
                <w:rFonts w:eastAsia="MS Mincho" w:cstheme="minorHAnsi"/>
                <w:bCs/>
              </w:rPr>
              <w:t>.</w:t>
            </w:r>
          </w:p>
          <w:p w:rsidR="009F51F4" w:rsidRDefault="009F51F4" w:rsidP="009F51F4">
            <w:pPr>
              <w:jc w:val="both"/>
              <w:rPr>
                <w:rFonts w:eastAsia="MS Mincho" w:cstheme="minorHAnsi"/>
                <w:bCs/>
              </w:rPr>
            </w:pPr>
          </w:p>
          <w:p w:rsidR="009F51F4" w:rsidRDefault="009F51F4" w:rsidP="009F51F4">
            <w:pPr>
              <w:pStyle w:val="ListParagraph"/>
              <w:numPr>
                <w:ilvl w:val="0"/>
                <w:numId w:val="1"/>
              </w:numPr>
              <w:jc w:val="both"/>
              <w:rPr>
                <w:rFonts w:eastAsia="MS Mincho" w:cstheme="minorHAnsi"/>
                <w:bCs/>
              </w:rPr>
            </w:pPr>
            <w:r>
              <w:rPr>
                <w:rFonts w:eastAsia="MS Mincho" w:cstheme="minorHAnsi"/>
                <w:bCs/>
              </w:rPr>
              <w:t>3600 – 3800 MHz and 3300 – 3400 MHz (R2)</w:t>
            </w:r>
          </w:p>
          <w:p w:rsidR="009F51F4" w:rsidRDefault="009F51F4" w:rsidP="009F51F4">
            <w:pPr>
              <w:pStyle w:val="ListParagraph"/>
              <w:numPr>
                <w:ilvl w:val="0"/>
                <w:numId w:val="1"/>
              </w:numPr>
              <w:jc w:val="both"/>
              <w:rPr>
                <w:rFonts w:eastAsia="MS Mincho" w:cstheme="minorHAnsi"/>
                <w:bCs/>
              </w:rPr>
            </w:pPr>
            <w:r>
              <w:rPr>
                <w:rFonts w:eastAsia="MS Mincho" w:cstheme="minorHAnsi"/>
                <w:bCs/>
              </w:rPr>
              <w:t>[3300 – 3400 MHz amend footnote in R1]</w:t>
            </w:r>
          </w:p>
          <w:p w:rsidR="009F51F4" w:rsidRDefault="009F51F4" w:rsidP="009F51F4">
            <w:pPr>
              <w:pStyle w:val="ListParagraph"/>
              <w:numPr>
                <w:ilvl w:val="0"/>
                <w:numId w:val="1"/>
              </w:numPr>
              <w:jc w:val="both"/>
              <w:rPr>
                <w:rFonts w:eastAsia="MS Mincho" w:cstheme="minorHAnsi"/>
                <w:bCs/>
              </w:rPr>
            </w:pPr>
            <w:r>
              <w:rPr>
                <w:rFonts w:eastAsia="MS Mincho" w:cstheme="minorHAnsi"/>
                <w:bCs/>
              </w:rPr>
              <w:t>7025 – 7125 MHz (G)</w:t>
            </w:r>
          </w:p>
          <w:p w:rsidR="009F51F4" w:rsidRDefault="009F51F4" w:rsidP="009F51F4">
            <w:pPr>
              <w:pStyle w:val="ListParagraph"/>
              <w:numPr>
                <w:ilvl w:val="0"/>
                <w:numId w:val="1"/>
              </w:numPr>
              <w:jc w:val="both"/>
              <w:rPr>
                <w:rFonts w:eastAsia="MS Mincho" w:cstheme="minorHAnsi"/>
                <w:bCs/>
              </w:rPr>
            </w:pPr>
            <w:r>
              <w:rPr>
                <w:rFonts w:eastAsia="MS Mincho" w:cstheme="minorHAnsi"/>
                <w:bCs/>
              </w:rPr>
              <w:t>6425 – 7025 MHz / [5925 – 7025 MHz] (R1)</w:t>
            </w:r>
          </w:p>
          <w:p w:rsidR="009F51F4" w:rsidRPr="008F40E1" w:rsidRDefault="009F51F4" w:rsidP="009F51F4">
            <w:pPr>
              <w:pStyle w:val="ListParagraph"/>
              <w:numPr>
                <w:ilvl w:val="0"/>
                <w:numId w:val="1"/>
              </w:numPr>
              <w:jc w:val="both"/>
              <w:rPr>
                <w:rFonts w:eastAsia="MS Mincho" w:cstheme="minorHAnsi"/>
                <w:bCs/>
              </w:rPr>
            </w:pPr>
            <w:r>
              <w:rPr>
                <w:rFonts w:eastAsia="MS Mincho" w:cstheme="minorHAnsi"/>
                <w:bCs/>
              </w:rPr>
              <w:t>10 000 – 10 500 MHz (R2)</w:t>
            </w:r>
          </w:p>
          <w:p w:rsidR="009F51F4" w:rsidRPr="008F40E1" w:rsidRDefault="009F51F4" w:rsidP="009F51F4">
            <w:pPr>
              <w:jc w:val="both"/>
              <w:rPr>
                <w:rFonts w:eastAsia="MS Mincho" w:cstheme="minorHAnsi"/>
                <w:bCs/>
              </w:rPr>
            </w:pPr>
          </w:p>
          <w:p w:rsidR="009F51F4" w:rsidRPr="008F40E1" w:rsidRDefault="009F51F4" w:rsidP="009F51F4">
            <w:pPr>
              <w:jc w:val="both"/>
            </w:pPr>
          </w:p>
        </w:tc>
        <w:tc>
          <w:tcPr>
            <w:tcW w:w="3466" w:type="dxa"/>
          </w:tcPr>
          <w:p w:rsidR="009F51F4" w:rsidRDefault="009F51F4" w:rsidP="009F51F4">
            <w:pPr>
              <w:jc w:val="both"/>
            </w:pPr>
          </w:p>
        </w:tc>
      </w:tr>
      <w:tr w:rsidR="000620BA" w:rsidTr="009F51F4">
        <w:tc>
          <w:tcPr>
            <w:tcW w:w="815" w:type="dxa"/>
          </w:tcPr>
          <w:p w:rsidR="009F51F4" w:rsidRDefault="000620BA" w:rsidP="009F51F4">
            <w:pPr>
              <w:jc w:val="both"/>
            </w:pPr>
            <w:r>
              <w:t>2</w:t>
            </w:r>
          </w:p>
        </w:tc>
        <w:tc>
          <w:tcPr>
            <w:tcW w:w="900" w:type="dxa"/>
          </w:tcPr>
          <w:p w:rsidR="009F51F4" w:rsidRPr="000620BA" w:rsidRDefault="000620BA" w:rsidP="009F51F4">
            <w:pPr>
              <w:jc w:val="both"/>
            </w:pPr>
            <w:r w:rsidRPr="000620BA">
              <w:rPr>
                <w:rFonts w:cstheme="minorHAnsi"/>
                <w:b/>
                <w:bCs/>
                <w:color w:val="000000"/>
                <w:sz w:val="20"/>
                <w:szCs w:val="20"/>
              </w:rPr>
              <w:t>HIBS</w:t>
            </w:r>
          </w:p>
        </w:tc>
        <w:tc>
          <w:tcPr>
            <w:tcW w:w="8589" w:type="dxa"/>
          </w:tcPr>
          <w:p w:rsidR="009F51F4" w:rsidRDefault="000620BA" w:rsidP="009F51F4">
            <w:pPr>
              <w:jc w:val="both"/>
            </w:pPr>
            <w:r>
              <w:t xml:space="preserve">to consider, in accordance with Resolution </w:t>
            </w:r>
            <w:r>
              <w:rPr>
                <w:b/>
                <w:bCs/>
              </w:rPr>
              <w:t>[SWG6B1/HIBS]</w:t>
            </w:r>
            <w:r>
              <w:rPr>
                <w:b/>
              </w:rPr>
              <w:t xml:space="preserve"> (WRC-19)</w:t>
            </w:r>
            <w:r>
              <w:t xml:space="preserve">, the use of high altitude platform stations as IMT base stations (HIBS) </w:t>
            </w:r>
            <w:r>
              <w:rPr>
                <w:highlight w:val="yellow"/>
              </w:rPr>
              <w:t>in the mobile service</w:t>
            </w:r>
            <w:r>
              <w:t xml:space="preserve"> in certain bands below </w:t>
            </w:r>
            <w:r>
              <w:rPr>
                <w:highlight w:val="yellow"/>
              </w:rPr>
              <w:t>2.7</w:t>
            </w:r>
            <w:r>
              <w:t> GHz already identified for IMT, on a global or regional level</w:t>
            </w:r>
            <w:r>
              <w:t>.</w:t>
            </w:r>
          </w:p>
          <w:p w:rsidR="000620BA" w:rsidRDefault="000620BA" w:rsidP="009F51F4">
            <w:pPr>
              <w:jc w:val="both"/>
            </w:pPr>
          </w:p>
          <w:p w:rsidR="000620BA" w:rsidRDefault="000620BA" w:rsidP="009F51F4">
            <w:pPr>
              <w:jc w:val="both"/>
            </w:pPr>
            <w:r>
              <w:t>The frequency Bands:</w:t>
            </w:r>
          </w:p>
          <w:p w:rsidR="000620BA" w:rsidRDefault="000620BA" w:rsidP="000620BA">
            <w:pPr>
              <w:pStyle w:val="ListParagraph"/>
              <w:numPr>
                <w:ilvl w:val="0"/>
                <w:numId w:val="1"/>
              </w:numPr>
              <w:jc w:val="both"/>
            </w:pPr>
            <w:r>
              <w:t>[</w:t>
            </w:r>
            <w:r>
              <w:t xml:space="preserve">694/698/703-960 MHz </w:t>
            </w:r>
            <w:r>
              <w:t>]</w:t>
            </w:r>
          </w:p>
          <w:p w:rsidR="000620BA" w:rsidRDefault="000620BA" w:rsidP="000620BA">
            <w:pPr>
              <w:pStyle w:val="ListParagraph"/>
              <w:numPr>
                <w:ilvl w:val="0"/>
                <w:numId w:val="1"/>
              </w:numPr>
              <w:jc w:val="both"/>
            </w:pPr>
            <w:r>
              <w:t xml:space="preserve">1 710-1 885 </w:t>
            </w:r>
            <w:r w:rsidRPr="000620BA">
              <w:rPr>
                <w:highlight w:val="yellow"/>
              </w:rPr>
              <w:t>MHz (noting that</w:t>
            </w:r>
            <w:r>
              <w:t xml:space="preserve"> 1 710-1 815 MHz </w:t>
            </w:r>
            <w:r w:rsidRPr="000620BA">
              <w:rPr>
                <w:highlight w:val="yellow"/>
              </w:rPr>
              <w:t>is restricted</w:t>
            </w:r>
            <w:r>
              <w:t xml:space="preserve"> to be used for uplink only in Region 3);</w:t>
            </w:r>
          </w:p>
          <w:p w:rsidR="000620BA" w:rsidRDefault="000620BA" w:rsidP="000620BA">
            <w:pPr>
              <w:pStyle w:val="ListParagraph"/>
              <w:numPr>
                <w:ilvl w:val="0"/>
                <w:numId w:val="1"/>
              </w:numPr>
              <w:jc w:val="both"/>
            </w:pPr>
            <w:r>
              <w:t>2 500-2 690 MHz</w:t>
            </w:r>
            <w:r w:rsidRPr="000620BA">
              <w:rPr>
                <w:highlight w:val="yellow"/>
              </w:rPr>
              <w:t>, except 2 655-2 690 MHz in Region 3 (noting that</w:t>
            </w:r>
            <w:r>
              <w:t xml:space="preserve"> 2 500-2 535 MHz </w:t>
            </w:r>
            <w:r w:rsidRPr="000620BA">
              <w:rPr>
                <w:highlight w:val="yellow"/>
              </w:rPr>
              <w:t>is restricted</w:t>
            </w:r>
            <w:r>
              <w:t xml:space="preserve"> to be used for uplink only in Region 3);</w:t>
            </w:r>
          </w:p>
        </w:tc>
        <w:tc>
          <w:tcPr>
            <w:tcW w:w="3466" w:type="dxa"/>
          </w:tcPr>
          <w:p w:rsidR="009F51F4" w:rsidRDefault="009F51F4" w:rsidP="000620BA">
            <w:pPr>
              <w:jc w:val="both"/>
            </w:pPr>
          </w:p>
        </w:tc>
      </w:tr>
      <w:tr w:rsidR="000620BA" w:rsidTr="009F51F4">
        <w:tc>
          <w:tcPr>
            <w:tcW w:w="815" w:type="dxa"/>
          </w:tcPr>
          <w:p w:rsidR="009F51F4" w:rsidRDefault="000620BA" w:rsidP="009F51F4">
            <w:pPr>
              <w:jc w:val="both"/>
            </w:pPr>
            <w:r>
              <w:lastRenderedPageBreak/>
              <w:t>3</w:t>
            </w:r>
          </w:p>
        </w:tc>
        <w:tc>
          <w:tcPr>
            <w:tcW w:w="900" w:type="dxa"/>
          </w:tcPr>
          <w:p w:rsidR="000620BA" w:rsidRPr="000620BA" w:rsidRDefault="000620BA" w:rsidP="000620BA">
            <w:pPr>
              <w:rPr>
                <w:rFonts w:cstheme="minorHAnsi"/>
                <w:b/>
                <w:bCs/>
                <w:color w:val="000000"/>
                <w:sz w:val="20"/>
                <w:szCs w:val="20"/>
              </w:rPr>
            </w:pPr>
            <w:r w:rsidRPr="000620BA">
              <w:rPr>
                <w:rFonts w:cstheme="minorHAnsi"/>
                <w:b/>
                <w:bCs/>
                <w:color w:val="000000"/>
                <w:sz w:val="20"/>
                <w:szCs w:val="20"/>
              </w:rPr>
              <w:t>Region 1 UHF</w:t>
            </w:r>
          </w:p>
          <w:p w:rsidR="000620BA" w:rsidRPr="000620BA" w:rsidRDefault="000620BA" w:rsidP="000620BA">
            <w:pPr>
              <w:rPr>
                <w:rFonts w:cstheme="minorHAnsi"/>
                <w:bCs/>
                <w:color w:val="000000"/>
                <w:sz w:val="18"/>
                <w:szCs w:val="18"/>
              </w:rPr>
            </w:pPr>
            <w:r w:rsidRPr="000620BA">
              <w:rPr>
                <w:rFonts w:cstheme="minorHAnsi"/>
                <w:bCs/>
                <w:color w:val="000000"/>
                <w:sz w:val="18"/>
                <w:szCs w:val="18"/>
              </w:rPr>
              <w:t xml:space="preserve">Any change to the original resolution will revert to suppression </w:t>
            </w:r>
          </w:p>
          <w:p w:rsidR="009F51F4" w:rsidRPr="000620BA" w:rsidRDefault="009F51F4" w:rsidP="009F51F4">
            <w:pPr>
              <w:jc w:val="both"/>
            </w:pPr>
          </w:p>
        </w:tc>
        <w:tc>
          <w:tcPr>
            <w:tcW w:w="8589" w:type="dxa"/>
          </w:tcPr>
          <w:p w:rsidR="009F51F4" w:rsidRDefault="000620BA" w:rsidP="009F51F4">
            <w:pPr>
              <w:jc w:val="both"/>
            </w:pPr>
            <w:r>
              <w:rPr>
                <w:rFonts w:cstheme="minorHAnsi"/>
                <w:sz w:val="16"/>
                <w:szCs w:val="16"/>
              </w:rPr>
              <w:t xml:space="preserve">to review the spectrum use and spectrum needs of existing services in the frequency band 470-960 MHz in Region 1 and consider possible regulatory actions in the frequency band 470-694 MHz in Region 1 on the basis of the review in accordance with Resolution </w:t>
            </w:r>
            <w:r>
              <w:rPr>
                <w:rFonts w:cstheme="minorHAnsi"/>
                <w:b/>
                <w:sz w:val="16"/>
                <w:szCs w:val="16"/>
              </w:rPr>
              <w:t>235 (WRC-15)</w:t>
            </w:r>
            <w:r>
              <w:rPr>
                <w:rFonts w:cstheme="minorHAnsi"/>
                <w:sz w:val="16"/>
                <w:szCs w:val="16"/>
              </w:rPr>
              <w:t>;</w:t>
            </w:r>
          </w:p>
        </w:tc>
        <w:tc>
          <w:tcPr>
            <w:tcW w:w="3466" w:type="dxa"/>
          </w:tcPr>
          <w:p w:rsidR="009F51F4" w:rsidRDefault="009F51F4" w:rsidP="009F51F4">
            <w:pPr>
              <w:jc w:val="both"/>
            </w:pPr>
          </w:p>
        </w:tc>
      </w:tr>
      <w:tr w:rsidR="000620BA" w:rsidTr="009F51F4">
        <w:tc>
          <w:tcPr>
            <w:tcW w:w="815" w:type="dxa"/>
          </w:tcPr>
          <w:p w:rsidR="009F51F4" w:rsidRDefault="000620BA" w:rsidP="009F51F4">
            <w:pPr>
              <w:jc w:val="both"/>
            </w:pPr>
            <w:r>
              <w:t>4</w:t>
            </w:r>
          </w:p>
        </w:tc>
        <w:tc>
          <w:tcPr>
            <w:tcW w:w="900" w:type="dxa"/>
          </w:tcPr>
          <w:p w:rsidR="009F51F4" w:rsidRDefault="000620BA" w:rsidP="009F51F4">
            <w:pPr>
              <w:jc w:val="both"/>
            </w:pPr>
            <w:r>
              <w:t>C-Band</w:t>
            </w:r>
          </w:p>
        </w:tc>
        <w:tc>
          <w:tcPr>
            <w:tcW w:w="8589" w:type="dxa"/>
          </w:tcPr>
          <w:p w:rsidR="009F51F4" w:rsidRDefault="000620BA" w:rsidP="009F51F4">
            <w:pPr>
              <w:jc w:val="both"/>
            </w:pPr>
            <w:r>
              <w:t>To consider primary allocation of the band 3600 – 3800 MHz to mobile service within Region 1 and take appropriate regulatory actions[ including possible IMT identification.]</w:t>
            </w:r>
          </w:p>
        </w:tc>
        <w:tc>
          <w:tcPr>
            <w:tcW w:w="3466" w:type="dxa"/>
          </w:tcPr>
          <w:p w:rsidR="009F51F4" w:rsidRDefault="009F51F4" w:rsidP="009F51F4">
            <w:pPr>
              <w:jc w:val="both"/>
            </w:pPr>
          </w:p>
        </w:tc>
      </w:tr>
      <w:tr w:rsidR="000620BA" w:rsidTr="009F51F4">
        <w:tc>
          <w:tcPr>
            <w:tcW w:w="815" w:type="dxa"/>
          </w:tcPr>
          <w:p w:rsidR="000620BA" w:rsidRDefault="000620BA" w:rsidP="009F51F4">
            <w:pPr>
              <w:jc w:val="both"/>
            </w:pPr>
            <w:r>
              <w:t>5</w:t>
            </w:r>
          </w:p>
        </w:tc>
        <w:tc>
          <w:tcPr>
            <w:tcW w:w="900" w:type="dxa"/>
          </w:tcPr>
          <w:p w:rsidR="000620BA" w:rsidRDefault="000620BA" w:rsidP="009F51F4">
            <w:pPr>
              <w:jc w:val="both"/>
              <w:rPr>
                <w:rFonts w:cstheme="minorHAnsi"/>
                <w:b/>
                <w:bCs/>
                <w:color w:val="000000"/>
                <w:sz w:val="20"/>
                <w:szCs w:val="20"/>
              </w:rPr>
            </w:pPr>
            <w:r w:rsidRPr="000620BA">
              <w:rPr>
                <w:rFonts w:cstheme="minorHAnsi"/>
                <w:b/>
                <w:bCs/>
                <w:color w:val="000000"/>
                <w:sz w:val="20"/>
                <w:szCs w:val="20"/>
              </w:rPr>
              <w:t>SRS 15 GHz</w:t>
            </w:r>
          </w:p>
          <w:p w:rsidR="005620FC" w:rsidRDefault="005620FC" w:rsidP="009F51F4">
            <w:pPr>
              <w:jc w:val="both"/>
              <w:rPr>
                <w:rFonts w:cstheme="minorHAnsi"/>
                <w:b/>
                <w:bCs/>
                <w:color w:val="000000"/>
                <w:sz w:val="20"/>
                <w:szCs w:val="20"/>
              </w:rPr>
            </w:pPr>
            <w:r>
              <w:rPr>
                <w:rFonts w:cstheme="minorHAnsi"/>
                <w:b/>
                <w:bCs/>
                <w:color w:val="000000"/>
                <w:sz w:val="20"/>
                <w:szCs w:val="20"/>
              </w:rPr>
              <w:t>For Region 1.</w:t>
            </w:r>
          </w:p>
          <w:p w:rsidR="005620FC" w:rsidRDefault="005620FC" w:rsidP="009F51F4">
            <w:pPr>
              <w:jc w:val="both"/>
            </w:pPr>
            <w:bookmarkStart w:id="0" w:name="_GoBack"/>
            <w:bookmarkEnd w:id="0"/>
          </w:p>
        </w:tc>
        <w:tc>
          <w:tcPr>
            <w:tcW w:w="8589" w:type="dxa"/>
          </w:tcPr>
          <w:p w:rsidR="000620BA" w:rsidRDefault="000620BA" w:rsidP="009F51F4">
            <w:pPr>
              <w:jc w:val="both"/>
            </w:pPr>
            <w:r>
              <w:rPr>
                <w:rFonts w:cstheme="minorHAnsi"/>
                <w:sz w:val="16"/>
                <w:szCs w:val="16"/>
              </w:rPr>
              <w:t>to consider a possible upgrade of the allocation of the frequency band 14.8-15.35 GHz to the Space Research Service in accordance with Resolution [</w:t>
            </w:r>
            <w:r>
              <w:rPr>
                <w:rFonts w:cstheme="minorHAnsi"/>
                <w:b/>
                <w:bCs/>
                <w:sz w:val="16"/>
                <w:szCs w:val="16"/>
              </w:rPr>
              <w:t>SWG6B1/SRS-15GHz UPGRADE</w:t>
            </w:r>
            <w:r>
              <w:rPr>
                <w:rFonts w:cstheme="minorHAnsi"/>
                <w:sz w:val="16"/>
                <w:szCs w:val="16"/>
              </w:rPr>
              <w:t>]</w:t>
            </w:r>
            <w:r>
              <w:rPr>
                <w:rFonts w:cstheme="minorHAnsi"/>
                <w:b/>
                <w:bCs/>
                <w:sz w:val="16"/>
                <w:szCs w:val="16"/>
              </w:rPr>
              <w:t xml:space="preserve"> (WRC-19)</w:t>
            </w:r>
            <w:r>
              <w:rPr>
                <w:rFonts w:cstheme="minorHAnsi"/>
                <w:sz w:val="16"/>
                <w:szCs w:val="16"/>
              </w:rPr>
              <w:t>;</w:t>
            </w:r>
          </w:p>
        </w:tc>
        <w:tc>
          <w:tcPr>
            <w:tcW w:w="3466" w:type="dxa"/>
          </w:tcPr>
          <w:p w:rsidR="000620BA" w:rsidRDefault="000620BA" w:rsidP="009F51F4">
            <w:pPr>
              <w:jc w:val="both"/>
            </w:pPr>
          </w:p>
        </w:tc>
      </w:tr>
      <w:tr w:rsidR="000620BA" w:rsidTr="009F51F4">
        <w:tc>
          <w:tcPr>
            <w:tcW w:w="815" w:type="dxa"/>
            <w:vAlign w:val="center"/>
          </w:tcPr>
          <w:p w:rsidR="009F51F4" w:rsidRPr="00C65177" w:rsidRDefault="000620BA" w:rsidP="009F51F4">
            <w:pPr>
              <w:rPr>
                <w:sz w:val="24"/>
                <w:szCs w:val="24"/>
              </w:rPr>
            </w:pPr>
            <w:r>
              <w:rPr>
                <w:sz w:val="24"/>
                <w:szCs w:val="24"/>
              </w:rPr>
              <w:t>6</w:t>
            </w:r>
          </w:p>
        </w:tc>
        <w:tc>
          <w:tcPr>
            <w:tcW w:w="900" w:type="dxa"/>
            <w:vAlign w:val="center"/>
          </w:tcPr>
          <w:p w:rsidR="009F51F4" w:rsidRPr="00C65177" w:rsidRDefault="009F51F4" w:rsidP="009F51F4">
            <w:pPr>
              <w:rPr>
                <w:sz w:val="24"/>
                <w:szCs w:val="24"/>
              </w:rPr>
            </w:pPr>
            <w:r w:rsidRPr="00C65177">
              <w:rPr>
                <w:rFonts w:cstheme="minorHAnsi"/>
                <w:b/>
                <w:bCs/>
                <w:color w:val="000000"/>
                <w:sz w:val="24"/>
                <w:szCs w:val="24"/>
              </w:rPr>
              <w:t>ESIM Ku-band aero and maritime</w:t>
            </w:r>
          </w:p>
        </w:tc>
        <w:tc>
          <w:tcPr>
            <w:tcW w:w="8589" w:type="dxa"/>
            <w:vAlign w:val="center"/>
          </w:tcPr>
          <w:p w:rsidR="009F51F4" w:rsidRPr="00C65177" w:rsidRDefault="009F51F4" w:rsidP="009F51F4">
            <w:pPr>
              <w:rPr>
                <w:sz w:val="24"/>
                <w:szCs w:val="24"/>
              </w:rPr>
            </w:pPr>
            <w:r w:rsidRPr="00C65177">
              <w:rPr>
                <w:rFonts w:eastAsia="MS Mincho" w:cstheme="minorHAnsi"/>
                <w:kern w:val="2"/>
                <w:sz w:val="24"/>
                <w:szCs w:val="24"/>
                <w:lang w:eastAsia="ja-JP"/>
              </w:rPr>
              <w:t xml:space="preserve">harmonize the use of the frequency band 12.75-13.25 GHz (Earth-to-space) by earth stations on aircraft and vessels communicating with geostationary space stations in the fixed-satellite service globally, in accordance with Resolution </w:t>
            </w:r>
            <w:r w:rsidRPr="00C65177">
              <w:rPr>
                <w:rFonts w:eastAsia="MS Mincho" w:cstheme="minorHAnsi"/>
                <w:b/>
                <w:bCs/>
                <w:kern w:val="2"/>
                <w:sz w:val="24"/>
                <w:szCs w:val="24"/>
                <w:lang w:eastAsia="ja-JP"/>
              </w:rPr>
              <w:t>[</w:t>
            </w:r>
            <w:r w:rsidRPr="00C65177">
              <w:rPr>
                <w:rFonts w:cstheme="minorHAnsi"/>
                <w:b/>
                <w:sz w:val="24"/>
                <w:szCs w:val="24"/>
              </w:rPr>
              <w:t>WP6B1</w:t>
            </w:r>
            <w:r w:rsidRPr="00C65177">
              <w:rPr>
                <w:rFonts w:eastAsia="MS Mincho" w:cstheme="minorHAnsi"/>
                <w:b/>
                <w:bCs/>
                <w:kern w:val="2"/>
                <w:sz w:val="24"/>
                <w:szCs w:val="24"/>
                <w:lang w:eastAsia="ja-JP"/>
              </w:rPr>
              <w:t>-AERO/MAR 13 GHZ] (WRC-19)</w:t>
            </w:r>
            <w:r w:rsidRPr="00C65177">
              <w:rPr>
                <w:rFonts w:eastAsia="MS Mincho" w:cstheme="minorHAnsi"/>
                <w:kern w:val="2"/>
                <w:sz w:val="24"/>
                <w:szCs w:val="24"/>
                <w:lang w:eastAsia="ja-JP"/>
              </w:rPr>
              <w:t>;</w:t>
            </w:r>
          </w:p>
        </w:tc>
        <w:tc>
          <w:tcPr>
            <w:tcW w:w="3466" w:type="dxa"/>
          </w:tcPr>
          <w:p w:rsidR="009F51F4" w:rsidRDefault="009F51F4" w:rsidP="009F51F4">
            <w:pPr>
              <w:jc w:val="both"/>
            </w:pPr>
          </w:p>
        </w:tc>
      </w:tr>
      <w:tr w:rsidR="000620BA" w:rsidTr="009F51F4">
        <w:tc>
          <w:tcPr>
            <w:tcW w:w="815" w:type="dxa"/>
            <w:vAlign w:val="center"/>
          </w:tcPr>
          <w:p w:rsidR="009F51F4" w:rsidRPr="00C65177" w:rsidRDefault="000620BA" w:rsidP="009F51F4">
            <w:pPr>
              <w:rPr>
                <w:sz w:val="24"/>
                <w:szCs w:val="24"/>
              </w:rPr>
            </w:pPr>
            <w:r>
              <w:rPr>
                <w:sz w:val="24"/>
                <w:szCs w:val="24"/>
              </w:rPr>
              <w:t>7</w:t>
            </w:r>
          </w:p>
        </w:tc>
        <w:tc>
          <w:tcPr>
            <w:tcW w:w="900" w:type="dxa"/>
            <w:vAlign w:val="center"/>
          </w:tcPr>
          <w:p w:rsidR="009F51F4" w:rsidRPr="00C65177" w:rsidRDefault="009F51F4" w:rsidP="009F51F4">
            <w:pPr>
              <w:rPr>
                <w:sz w:val="24"/>
                <w:szCs w:val="24"/>
              </w:rPr>
            </w:pPr>
            <w:r w:rsidRPr="00C65177">
              <w:rPr>
                <w:rFonts w:cstheme="minorHAnsi"/>
                <w:b/>
                <w:bCs/>
                <w:color w:val="000000"/>
                <w:sz w:val="24"/>
                <w:szCs w:val="24"/>
              </w:rPr>
              <w:t>ESIM Ka-band aero and maritime with NGSO</w:t>
            </w:r>
          </w:p>
        </w:tc>
        <w:tc>
          <w:tcPr>
            <w:tcW w:w="8589" w:type="dxa"/>
            <w:vAlign w:val="center"/>
          </w:tcPr>
          <w:p w:rsidR="009F51F4" w:rsidRDefault="009F51F4" w:rsidP="009F51F4">
            <w:pPr>
              <w:rPr>
                <w:sz w:val="24"/>
                <w:szCs w:val="24"/>
              </w:rPr>
            </w:pPr>
            <w:r w:rsidRPr="00C65177">
              <w:rPr>
                <w:sz w:val="24"/>
                <w:szCs w:val="24"/>
              </w:rPr>
              <w:t xml:space="preserve">to study and develop technical, operational and regulatory measures, as appropriate, to facilitate the use of the frequency bands 17.7-18.6 GHz and 18.8-19.3 GHz and 19.7-20.2 GHz (space-to-Earth) and 27.5-29.1 GHz and 29.5-30 GHz (Earth-to-space) by non-GSO FSS ESIM, while ensuring due protection of existing services in those frequency bands in accordance with Resolution [SWG6B1/NGSO_ESIM] </w:t>
            </w:r>
          </w:p>
          <w:p w:rsidR="009F51F4" w:rsidRPr="00C65177" w:rsidRDefault="009F51F4" w:rsidP="009F51F4">
            <w:pPr>
              <w:pStyle w:val="ListParagraph"/>
              <w:numPr>
                <w:ilvl w:val="0"/>
                <w:numId w:val="1"/>
              </w:numPr>
              <w:rPr>
                <w:sz w:val="24"/>
                <w:szCs w:val="24"/>
              </w:rPr>
            </w:pPr>
            <w:r w:rsidRPr="00C65177">
              <w:rPr>
                <w:rFonts w:cstheme="minorHAnsi"/>
                <w:b/>
                <w:bCs/>
                <w:color w:val="000000"/>
                <w:sz w:val="18"/>
                <w:szCs w:val="18"/>
              </w:rPr>
              <w:t>17 700-18 600</w:t>
            </w:r>
          </w:p>
          <w:p w:rsidR="009F51F4" w:rsidRPr="00C65177" w:rsidRDefault="009F51F4" w:rsidP="009F51F4">
            <w:pPr>
              <w:pStyle w:val="ListParagraph"/>
              <w:numPr>
                <w:ilvl w:val="0"/>
                <w:numId w:val="1"/>
              </w:numPr>
              <w:rPr>
                <w:sz w:val="24"/>
                <w:szCs w:val="24"/>
              </w:rPr>
            </w:pPr>
            <w:r w:rsidRPr="00507A5B">
              <w:rPr>
                <w:rFonts w:cstheme="minorHAnsi"/>
                <w:b/>
                <w:bCs/>
                <w:color w:val="000000"/>
                <w:sz w:val="18"/>
                <w:szCs w:val="18"/>
              </w:rPr>
              <w:t>18 800-19 300</w:t>
            </w:r>
          </w:p>
          <w:p w:rsidR="009F51F4" w:rsidRPr="00C65177" w:rsidRDefault="009F51F4" w:rsidP="009F51F4">
            <w:pPr>
              <w:pStyle w:val="ListParagraph"/>
              <w:numPr>
                <w:ilvl w:val="0"/>
                <w:numId w:val="1"/>
              </w:numPr>
              <w:rPr>
                <w:sz w:val="24"/>
                <w:szCs w:val="24"/>
              </w:rPr>
            </w:pPr>
            <w:r w:rsidRPr="00507A5B">
              <w:rPr>
                <w:rFonts w:cstheme="minorHAnsi"/>
                <w:b/>
                <w:bCs/>
                <w:color w:val="000000"/>
                <w:sz w:val="18"/>
                <w:szCs w:val="18"/>
              </w:rPr>
              <w:t>19 700-20 200</w:t>
            </w:r>
          </w:p>
          <w:p w:rsidR="009F51F4" w:rsidRPr="00C65177" w:rsidRDefault="009F51F4" w:rsidP="009F51F4">
            <w:pPr>
              <w:pStyle w:val="ListParagraph"/>
              <w:numPr>
                <w:ilvl w:val="0"/>
                <w:numId w:val="1"/>
              </w:numPr>
              <w:rPr>
                <w:sz w:val="24"/>
                <w:szCs w:val="24"/>
              </w:rPr>
            </w:pPr>
            <w:r w:rsidRPr="00507A5B">
              <w:rPr>
                <w:rFonts w:cstheme="minorHAnsi"/>
                <w:b/>
                <w:bCs/>
                <w:color w:val="000000"/>
                <w:sz w:val="18"/>
                <w:szCs w:val="18"/>
              </w:rPr>
              <w:t>27 500-29 100</w:t>
            </w:r>
          </w:p>
          <w:p w:rsidR="009F51F4" w:rsidRPr="00C65177" w:rsidRDefault="009F51F4" w:rsidP="009F51F4">
            <w:pPr>
              <w:pStyle w:val="ListParagraph"/>
              <w:numPr>
                <w:ilvl w:val="0"/>
                <w:numId w:val="1"/>
              </w:numPr>
              <w:rPr>
                <w:sz w:val="24"/>
                <w:szCs w:val="24"/>
              </w:rPr>
            </w:pPr>
            <w:r w:rsidRPr="00C65177">
              <w:rPr>
                <w:rFonts w:cstheme="minorHAnsi"/>
                <w:b/>
                <w:bCs/>
                <w:color w:val="000000"/>
                <w:sz w:val="18"/>
                <w:szCs w:val="18"/>
              </w:rPr>
              <w:t>29 500-30 000</w:t>
            </w:r>
          </w:p>
        </w:tc>
        <w:tc>
          <w:tcPr>
            <w:tcW w:w="3466" w:type="dxa"/>
          </w:tcPr>
          <w:p w:rsidR="009F51F4" w:rsidRDefault="009F51F4" w:rsidP="009F51F4">
            <w:pPr>
              <w:jc w:val="both"/>
            </w:pPr>
          </w:p>
        </w:tc>
      </w:tr>
      <w:tr w:rsidR="000620BA" w:rsidTr="009F51F4">
        <w:tc>
          <w:tcPr>
            <w:tcW w:w="815" w:type="dxa"/>
            <w:vAlign w:val="center"/>
          </w:tcPr>
          <w:p w:rsidR="009F51F4" w:rsidRPr="00507A5B" w:rsidRDefault="009F51F4" w:rsidP="009F51F4">
            <w:pPr>
              <w:rPr>
                <w:sz w:val="20"/>
                <w:szCs w:val="20"/>
              </w:rPr>
            </w:pPr>
          </w:p>
        </w:tc>
        <w:tc>
          <w:tcPr>
            <w:tcW w:w="900" w:type="dxa"/>
            <w:vAlign w:val="center"/>
          </w:tcPr>
          <w:p w:rsidR="009F51F4" w:rsidRPr="00507A5B" w:rsidRDefault="009F51F4" w:rsidP="009F51F4">
            <w:pPr>
              <w:rPr>
                <w:sz w:val="20"/>
                <w:szCs w:val="20"/>
              </w:rPr>
            </w:pPr>
          </w:p>
        </w:tc>
        <w:tc>
          <w:tcPr>
            <w:tcW w:w="8589" w:type="dxa"/>
            <w:vAlign w:val="center"/>
          </w:tcPr>
          <w:p w:rsidR="009F51F4" w:rsidRPr="00507A5B" w:rsidRDefault="009F51F4" w:rsidP="009F51F4">
            <w:pPr>
              <w:rPr>
                <w:sz w:val="16"/>
                <w:szCs w:val="16"/>
              </w:rPr>
            </w:pPr>
          </w:p>
        </w:tc>
        <w:tc>
          <w:tcPr>
            <w:tcW w:w="3466" w:type="dxa"/>
          </w:tcPr>
          <w:p w:rsidR="009F51F4" w:rsidRDefault="009F51F4" w:rsidP="009F51F4">
            <w:pPr>
              <w:jc w:val="both"/>
            </w:pPr>
          </w:p>
        </w:tc>
      </w:tr>
      <w:tr w:rsidR="000620BA" w:rsidTr="009F51F4">
        <w:tc>
          <w:tcPr>
            <w:tcW w:w="815" w:type="dxa"/>
            <w:vAlign w:val="center"/>
          </w:tcPr>
          <w:p w:rsidR="009F51F4" w:rsidRPr="00C65177" w:rsidRDefault="000620BA" w:rsidP="009F51F4">
            <w:pPr>
              <w:rPr>
                <w:sz w:val="24"/>
                <w:szCs w:val="24"/>
              </w:rPr>
            </w:pPr>
            <w:r>
              <w:rPr>
                <w:sz w:val="24"/>
                <w:szCs w:val="24"/>
              </w:rPr>
              <w:t>8</w:t>
            </w:r>
          </w:p>
        </w:tc>
        <w:tc>
          <w:tcPr>
            <w:tcW w:w="900" w:type="dxa"/>
            <w:vAlign w:val="center"/>
          </w:tcPr>
          <w:p w:rsidR="009F51F4" w:rsidRPr="00C65177" w:rsidRDefault="009F51F4" w:rsidP="009F51F4">
            <w:pPr>
              <w:rPr>
                <w:sz w:val="24"/>
                <w:szCs w:val="24"/>
              </w:rPr>
            </w:pPr>
            <w:r>
              <w:rPr>
                <w:rFonts w:cstheme="minorHAnsi"/>
                <w:b/>
                <w:bCs/>
                <w:color w:val="000000"/>
                <w:sz w:val="24"/>
                <w:szCs w:val="24"/>
              </w:rPr>
              <w:t>ISS</w:t>
            </w:r>
          </w:p>
        </w:tc>
        <w:tc>
          <w:tcPr>
            <w:tcW w:w="8589" w:type="dxa"/>
            <w:vAlign w:val="center"/>
          </w:tcPr>
          <w:p w:rsidR="009F51F4" w:rsidRDefault="009F51F4" w:rsidP="009F51F4">
            <w:pPr>
              <w:rPr>
                <w:rFonts w:cstheme="minorHAnsi"/>
                <w:sz w:val="24"/>
                <w:szCs w:val="24"/>
              </w:rPr>
            </w:pPr>
            <w:r w:rsidRPr="00C65177">
              <w:rPr>
                <w:rFonts w:cstheme="minorHAnsi"/>
                <w:sz w:val="24"/>
                <w:szCs w:val="24"/>
              </w:rPr>
              <w:t>to determine and carry out, on the basis of the ITU-R studies in</w:t>
            </w:r>
            <w:r w:rsidRPr="00C65177">
              <w:rPr>
                <w:rFonts w:cstheme="minorHAnsi"/>
                <w:spacing w:val="-8"/>
                <w:sz w:val="24"/>
                <w:szCs w:val="24"/>
              </w:rPr>
              <w:t xml:space="preserve"> </w:t>
            </w:r>
            <w:r w:rsidRPr="00C65177">
              <w:rPr>
                <w:rFonts w:cstheme="minorHAnsi"/>
                <w:sz w:val="24"/>
                <w:szCs w:val="24"/>
              </w:rPr>
              <w:t>accordance</w:t>
            </w:r>
            <w:r w:rsidRPr="00C65177">
              <w:rPr>
                <w:rFonts w:cstheme="minorHAnsi"/>
                <w:spacing w:val="-2"/>
                <w:sz w:val="24"/>
                <w:szCs w:val="24"/>
              </w:rPr>
              <w:t xml:space="preserve"> </w:t>
            </w:r>
            <w:r w:rsidRPr="00C65177">
              <w:rPr>
                <w:rFonts w:cstheme="minorHAnsi"/>
                <w:sz w:val="24"/>
                <w:szCs w:val="24"/>
              </w:rPr>
              <w:t xml:space="preserve">with Resolution </w:t>
            </w:r>
            <w:r w:rsidRPr="00C65177">
              <w:rPr>
                <w:rFonts w:cstheme="minorHAnsi"/>
                <w:b/>
                <w:sz w:val="24"/>
                <w:szCs w:val="24"/>
              </w:rPr>
              <w:t>[I</w:t>
            </w:r>
            <w:r>
              <w:rPr>
                <w:rFonts w:cstheme="minorHAnsi"/>
                <w:b/>
                <w:sz w:val="24"/>
                <w:szCs w:val="24"/>
              </w:rPr>
              <w:t>SS</w:t>
            </w:r>
            <w:r w:rsidRPr="00C65177">
              <w:rPr>
                <w:rFonts w:cstheme="minorHAnsi"/>
                <w:b/>
                <w:sz w:val="24"/>
                <w:szCs w:val="24"/>
              </w:rPr>
              <w:t>] (WRC-19)</w:t>
            </w:r>
            <w:r w:rsidRPr="00C65177">
              <w:rPr>
                <w:rFonts w:cstheme="minorHAnsi"/>
                <w:sz w:val="24"/>
                <w:szCs w:val="24"/>
              </w:rPr>
              <w:t>, the appropriate regulatory actions for the provision of inter-satellite links in specific frequency bands, or portions thereof, by adding an inter-satellite service allocation where appropriate;</w:t>
            </w:r>
          </w:p>
          <w:p w:rsidR="009F51F4" w:rsidRDefault="009F51F4" w:rsidP="009F51F4">
            <w:pPr>
              <w:rPr>
                <w:rFonts w:cstheme="minorHAnsi"/>
                <w:sz w:val="24"/>
                <w:szCs w:val="24"/>
              </w:rPr>
            </w:pPr>
          </w:p>
          <w:p w:rsidR="009F51F4" w:rsidRDefault="009F51F4" w:rsidP="009F51F4">
            <w:pPr>
              <w:pStyle w:val="ListParagraph"/>
              <w:numPr>
                <w:ilvl w:val="0"/>
                <w:numId w:val="1"/>
              </w:numPr>
              <w:rPr>
                <w:sz w:val="24"/>
                <w:szCs w:val="24"/>
              </w:rPr>
            </w:pPr>
            <w:r>
              <w:rPr>
                <w:sz w:val="24"/>
                <w:szCs w:val="24"/>
              </w:rPr>
              <w:lastRenderedPageBreak/>
              <w:t>18.1 – 18.6 GHz</w:t>
            </w:r>
          </w:p>
          <w:p w:rsidR="009F51F4" w:rsidRDefault="009F51F4" w:rsidP="009F51F4">
            <w:pPr>
              <w:pStyle w:val="ListParagraph"/>
              <w:numPr>
                <w:ilvl w:val="0"/>
                <w:numId w:val="1"/>
              </w:numPr>
              <w:rPr>
                <w:sz w:val="24"/>
                <w:szCs w:val="24"/>
              </w:rPr>
            </w:pPr>
            <w:r>
              <w:rPr>
                <w:sz w:val="24"/>
                <w:szCs w:val="24"/>
              </w:rPr>
              <w:t>18.8 – 20.2 GHz</w:t>
            </w:r>
          </w:p>
          <w:p w:rsidR="009F51F4" w:rsidRDefault="009F51F4" w:rsidP="009F51F4">
            <w:pPr>
              <w:pStyle w:val="ListParagraph"/>
              <w:numPr>
                <w:ilvl w:val="0"/>
                <w:numId w:val="1"/>
              </w:numPr>
              <w:rPr>
                <w:sz w:val="24"/>
                <w:szCs w:val="24"/>
              </w:rPr>
            </w:pPr>
            <w:r>
              <w:rPr>
                <w:sz w:val="24"/>
                <w:szCs w:val="24"/>
              </w:rPr>
              <w:t>27.5 – 30.0 GHz</w:t>
            </w:r>
          </w:p>
          <w:p w:rsidR="009F51F4" w:rsidRPr="00C65177" w:rsidRDefault="009F51F4" w:rsidP="009F51F4">
            <w:pPr>
              <w:pStyle w:val="ListParagraph"/>
              <w:numPr>
                <w:ilvl w:val="0"/>
                <w:numId w:val="1"/>
              </w:numPr>
              <w:rPr>
                <w:sz w:val="24"/>
                <w:szCs w:val="24"/>
              </w:rPr>
            </w:pPr>
            <w:r>
              <w:rPr>
                <w:sz w:val="24"/>
                <w:szCs w:val="24"/>
              </w:rPr>
              <w:t>11.7 – 12.7 GHz</w:t>
            </w:r>
          </w:p>
        </w:tc>
        <w:tc>
          <w:tcPr>
            <w:tcW w:w="3466" w:type="dxa"/>
          </w:tcPr>
          <w:p w:rsidR="009F51F4" w:rsidRDefault="009F51F4" w:rsidP="009F51F4">
            <w:pPr>
              <w:jc w:val="both"/>
            </w:pPr>
          </w:p>
        </w:tc>
      </w:tr>
      <w:tr w:rsidR="000620BA" w:rsidTr="009F51F4">
        <w:tc>
          <w:tcPr>
            <w:tcW w:w="815" w:type="dxa"/>
            <w:vAlign w:val="center"/>
          </w:tcPr>
          <w:p w:rsidR="009F51F4" w:rsidRPr="00507A5B" w:rsidRDefault="009F51F4" w:rsidP="009F51F4">
            <w:pPr>
              <w:rPr>
                <w:sz w:val="20"/>
                <w:szCs w:val="20"/>
              </w:rPr>
            </w:pPr>
          </w:p>
        </w:tc>
        <w:tc>
          <w:tcPr>
            <w:tcW w:w="900" w:type="dxa"/>
            <w:vAlign w:val="center"/>
          </w:tcPr>
          <w:p w:rsidR="009F51F4" w:rsidRPr="00507A5B" w:rsidRDefault="009F51F4" w:rsidP="009F51F4">
            <w:pPr>
              <w:rPr>
                <w:sz w:val="20"/>
                <w:szCs w:val="20"/>
              </w:rPr>
            </w:pPr>
          </w:p>
        </w:tc>
        <w:tc>
          <w:tcPr>
            <w:tcW w:w="8589" w:type="dxa"/>
            <w:vAlign w:val="center"/>
          </w:tcPr>
          <w:p w:rsidR="009F51F4" w:rsidRPr="00507A5B" w:rsidRDefault="009F51F4" w:rsidP="009F51F4">
            <w:pPr>
              <w:rPr>
                <w:sz w:val="16"/>
                <w:szCs w:val="16"/>
              </w:rPr>
            </w:pPr>
          </w:p>
        </w:tc>
        <w:tc>
          <w:tcPr>
            <w:tcW w:w="3466" w:type="dxa"/>
          </w:tcPr>
          <w:p w:rsidR="009F51F4" w:rsidRDefault="009F51F4" w:rsidP="009F51F4">
            <w:pPr>
              <w:jc w:val="both"/>
            </w:pPr>
          </w:p>
        </w:tc>
      </w:tr>
      <w:tr w:rsidR="000620BA" w:rsidTr="009F51F4">
        <w:tc>
          <w:tcPr>
            <w:tcW w:w="815" w:type="dxa"/>
            <w:vAlign w:val="center"/>
          </w:tcPr>
          <w:p w:rsidR="009F51F4" w:rsidRPr="008E7B46" w:rsidRDefault="000620BA" w:rsidP="009F51F4">
            <w:pPr>
              <w:rPr>
                <w:rFonts w:cstheme="minorHAnsi"/>
                <w:b/>
                <w:bCs/>
                <w:color w:val="000000"/>
                <w:sz w:val="24"/>
                <w:szCs w:val="24"/>
              </w:rPr>
            </w:pPr>
            <w:r>
              <w:rPr>
                <w:rFonts w:cstheme="minorHAnsi"/>
                <w:b/>
                <w:bCs/>
                <w:color w:val="000000"/>
                <w:sz w:val="24"/>
                <w:szCs w:val="24"/>
              </w:rPr>
              <w:t>9</w:t>
            </w:r>
          </w:p>
        </w:tc>
        <w:tc>
          <w:tcPr>
            <w:tcW w:w="900" w:type="dxa"/>
            <w:vAlign w:val="center"/>
          </w:tcPr>
          <w:p w:rsidR="009F51F4" w:rsidRPr="008E7B46" w:rsidRDefault="009F51F4" w:rsidP="009F51F4">
            <w:pPr>
              <w:rPr>
                <w:rFonts w:cstheme="minorHAnsi"/>
                <w:b/>
                <w:bCs/>
                <w:color w:val="000000"/>
                <w:sz w:val="24"/>
                <w:szCs w:val="24"/>
              </w:rPr>
            </w:pPr>
            <w:r w:rsidRPr="008E7B46">
              <w:rPr>
                <w:rFonts w:cstheme="minorHAnsi"/>
                <w:b/>
                <w:bCs/>
                <w:color w:val="000000"/>
                <w:sz w:val="24"/>
                <w:szCs w:val="24"/>
              </w:rPr>
              <w:t>FSS Primary 17 GHz R2</w:t>
            </w:r>
          </w:p>
        </w:tc>
        <w:tc>
          <w:tcPr>
            <w:tcW w:w="8589" w:type="dxa"/>
            <w:vAlign w:val="center"/>
          </w:tcPr>
          <w:p w:rsidR="009F51F4" w:rsidRPr="008E7B46" w:rsidRDefault="009F51F4" w:rsidP="009F51F4">
            <w:pPr>
              <w:rPr>
                <w:rFonts w:cstheme="minorHAnsi"/>
                <w:color w:val="000000"/>
                <w:sz w:val="24"/>
                <w:szCs w:val="24"/>
              </w:rPr>
            </w:pPr>
            <w:r w:rsidRPr="008E7B46">
              <w:rPr>
                <w:rFonts w:cstheme="minorHAnsi"/>
                <w:sz w:val="24"/>
                <w:szCs w:val="24"/>
              </w:rPr>
              <w:t xml:space="preserve">to consider a new primary allocation to the fixed-satellite service in the space-to-Earth in the 17.3-17.7 GHz band in Region 2, while protecting existing primary services in the band, in accordance with Resolution </w:t>
            </w:r>
            <w:r w:rsidRPr="008E7B46">
              <w:rPr>
                <w:rFonts w:cstheme="minorHAnsi"/>
                <w:b/>
                <w:sz w:val="24"/>
                <w:szCs w:val="24"/>
              </w:rPr>
              <w:t>[SWG6B1/7-17.3-17.7-S-E] (WRC-19)</w:t>
            </w:r>
            <w:r w:rsidRPr="008E7B46">
              <w:rPr>
                <w:rFonts w:cstheme="minorHAnsi"/>
                <w:sz w:val="24"/>
                <w:szCs w:val="24"/>
              </w:rPr>
              <w:t>.</w:t>
            </w:r>
          </w:p>
        </w:tc>
        <w:tc>
          <w:tcPr>
            <w:tcW w:w="3466" w:type="dxa"/>
          </w:tcPr>
          <w:p w:rsidR="009F51F4" w:rsidRDefault="009F51F4" w:rsidP="009F51F4">
            <w:pPr>
              <w:jc w:val="both"/>
            </w:pPr>
          </w:p>
        </w:tc>
      </w:tr>
      <w:tr w:rsidR="000620BA" w:rsidTr="009F51F4">
        <w:tc>
          <w:tcPr>
            <w:tcW w:w="815" w:type="dxa"/>
          </w:tcPr>
          <w:p w:rsidR="009F51F4" w:rsidRPr="00B537E5" w:rsidRDefault="000620BA" w:rsidP="009F51F4">
            <w:pPr>
              <w:jc w:val="both"/>
              <w:rPr>
                <w:sz w:val="24"/>
                <w:szCs w:val="24"/>
              </w:rPr>
            </w:pPr>
            <w:r>
              <w:rPr>
                <w:sz w:val="24"/>
                <w:szCs w:val="24"/>
              </w:rPr>
              <w:t>10</w:t>
            </w:r>
          </w:p>
        </w:tc>
        <w:tc>
          <w:tcPr>
            <w:tcW w:w="900" w:type="dxa"/>
          </w:tcPr>
          <w:p w:rsidR="009F51F4" w:rsidRPr="00B537E5" w:rsidRDefault="009F51F4" w:rsidP="009F51F4">
            <w:pPr>
              <w:rPr>
                <w:rFonts w:cstheme="minorHAnsi"/>
                <w:b/>
                <w:bCs/>
                <w:color w:val="000000"/>
                <w:sz w:val="24"/>
                <w:szCs w:val="24"/>
              </w:rPr>
            </w:pPr>
            <w:r>
              <w:rPr>
                <w:rFonts w:cstheme="minorHAnsi"/>
                <w:b/>
                <w:bCs/>
                <w:color w:val="000000"/>
                <w:sz w:val="24"/>
                <w:szCs w:val="24"/>
              </w:rPr>
              <w:t xml:space="preserve">MSS </w:t>
            </w:r>
          </w:p>
          <w:p w:rsidR="009F51F4" w:rsidRPr="00B537E5" w:rsidRDefault="009F51F4" w:rsidP="009F51F4">
            <w:pPr>
              <w:jc w:val="both"/>
              <w:rPr>
                <w:sz w:val="24"/>
                <w:szCs w:val="24"/>
              </w:rPr>
            </w:pPr>
          </w:p>
        </w:tc>
        <w:tc>
          <w:tcPr>
            <w:tcW w:w="8589" w:type="dxa"/>
          </w:tcPr>
          <w:p w:rsidR="009F51F4" w:rsidRDefault="009F51F4" w:rsidP="009F51F4">
            <w:pPr>
              <w:jc w:val="both"/>
              <w:rPr>
                <w:rFonts w:asciiTheme="majorHAnsi" w:hAnsiTheme="majorHAnsi" w:cstheme="majorHAnsi"/>
                <w:sz w:val="24"/>
                <w:szCs w:val="24"/>
              </w:rPr>
            </w:pPr>
            <w:r w:rsidRPr="00B537E5">
              <w:rPr>
                <w:rFonts w:asciiTheme="majorHAnsi" w:hAnsiTheme="majorHAnsi" w:cstheme="majorHAnsi"/>
                <w:sz w:val="24"/>
                <w:szCs w:val="24"/>
              </w:rPr>
              <w:t>Studies towards a possible new allocation for the applications of data collection and distribution systems described as low-data rate systems for the collection of data from, and management of terrestrial devices, in the MSS in specific bands [TBD]</w:t>
            </w:r>
          </w:p>
          <w:p w:rsidR="009F51F4" w:rsidRDefault="009F51F4" w:rsidP="009F51F4">
            <w:pPr>
              <w:jc w:val="both"/>
              <w:rPr>
                <w:rFonts w:asciiTheme="majorHAnsi" w:hAnsiTheme="majorHAnsi" w:cstheme="majorHAnsi"/>
                <w:sz w:val="24"/>
                <w:szCs w:val="24"/>
              </w:rPr>
            </w:pPr>
          </w:p>
          <w:p w:rsidR="009F51F4" w:rsidRDefault="009F51F4" w:rsidP="009F51F4">
            <w:pPr>
              <w:jc w:val="both"/>
              <w:rPr>
                <w:rFonts w:asciiTheme="majorHAnsi" w:hAnsiTheme="majorHAnsi" w:cstheme="majorHAnsi"/>
                <w:sz w:val="24"/>
                <w:szCs w:val="24"/>
              </w:rPr>
            </w:pPr>
            <w:r>
              <w:rPr>
                <w:rFonts w:asciiTheme="majorHAnsi" w:hAnsiTheme="majorHAnsi" w:cstheme="majorHAnsi"/>
                <w:sz w:val="24"/>
                <w:szCs w:val="24"/>
              </w:rPr>
              <w:t>For Region 2:</w:t>
            </w:r>
          </w:p>
          <w:p w:rsidR="009F51F4" w:rsidRPr="00B537E5" w:rsidRDefault="009F51F4" w:rsidP="009F51F4">
            <w:pPr>
              <w:pStyle w:val="ListParagraph"/>
              <w:numPr>
                <w:ilvl w:val="0"/>
                <w:numId w:val="1"/>
              </w:numPr>
              <w:jc w:val="both"/>
              <w:rPr>
                <w:sz w:val="24"/>
                <w:szCs w:val="24"/>
              </w:rPr>
            </w:pPr>
            <w:r>
              <w:rPr>
                <w:rFonts w:cstheme="minorHAnsi"/>
                <w:b/>
                <w:bCs/>
                <w:color w:val="000000"/>
                <w:sz w:val="18"/>
                <w:szCs w:val="18"/>
              </w:rPr>
              <w:t>1 695-1 710</w:t>
            </w:r>
          </w:p>
          <w:p w:rsidR="009F51F4" w:rsidRPr="00B537E5" w:rsidRDefault="009F51F4" w:rsidP="009F51F4">
            <w:pPr>
              <w:pStyle w:val="ListParagraph"/>
              <w:numPr>
                <w:ilvl w:val="0"/>
                <w:numId w:val="1"/>
              </w:numPr>
              <w:jc w:val="both"/>
              <w:rPr>
                <w:sz w:val="24"/>
                <w:szCs w:val="24"/>
              </w:rPr>
            </w:pPr>
            <w:r>
              <w:rPr>
                <w:rFonts w:cstheme="minorHAnsi"/>
                <w:b/>
                <w:bCs/>
                <w:color w:val="000000"/>
                <w:sz w:val="18"/>
                <w:szCs w:val="18"/>
              </w:rPr>
              <w:t>2 010-2 025</w:t>
            </w:r>
          </w:p>
          <w:p w:rsidR="009F51F4" w:rsidRPr="00B537E5" w:rsidRDefault="009F51F4" w:rsidP="009F51F4">
            <w:pPr>
              <w:pStyle w:val="ListParagraph"/>
              <w:numPr>
                <w:ilvl w:val="0"/>
                <w:numId w:val="1"/>
              </w:numPr>
              <w:jc w:val="both"/>
              <w:rPr>
                <w:sz w:val="24"/>
                <w:szCs w:val="24"/>
              </w:rPr>
            </w:pPr>
            <w:r>
              <w:rPr>
                <w:rFonts w:cstheme="minorHAnsi"/>
                <w:b/>
                <w:bCs/>
                <w:color w:val="000000"/>
                <w:sz w:val="18"/>
                <w:szCs w:val="18"/>
              </w:rPr>
              <w:t>3 300</w:t>
            </w:r>
            <w:r>
              <w:rPr>
                <w:rFonts w:cstheme="minorHAnsi"/>
                <w:b/>
                <w:bCs/>
                <w:color w:val="000000"/>
                <w:sz w:val="18"/>
                <w:szCs w:val="18"/>
              </w:rPr>
              <w:noBreakHyphen/>
              <w:t>3 315</w:t>
            </w:r>
          </w:p>
          <w:p w:rsidR="009F51F4" w:rsidRPr="00B537E5" w:rsidRDefault="009F51F4" w:rsidP="009F51F4">
            <w:pPr>
              <w:pStyle w:val="ListParagraph"/>
              <w:numPr>
                <w:ilvl w:val="0"/>
                <w:numId w:val="1"/>
              </w:numPr>
              <w:jc w:val="both"/>
              <w:rPr>
                <w:sz w:val="24"/>
                <w:szCs w:val="24"/>
              </w:rPr>
            </w:pPr>
            <w:r>
              <w:rPr>
                <w:rFonts w:cstheme="minorHAnsi"/>
                <w:b/>
                <w:bCs/>
                <w:color w:val="000000"/>
                <w:sz w:val="18"/>
                <w:szCs w:val="18"/>
              </w:rPr>
              <w:t>3 385-3 400</w:t>
            </w:r>
            <w:r>
              <w:rPr>
                <w:rFonts w:cstheme="minorHAnsi"/>
                <w:b/>
                <w:bCs/>
                <w:color w:val="000000"/>
                <w:sz w:val="18"/>
                <w:szCs w:val="18"/>
              </w:rPr>
              <w:t xml:space="preserve"> </w:t>
            </w:r>
          </w:p>
          <w:p w:rsidR="009F51F4" w:rsidRPr="00B537E5" w:rsidRDefault="009F51F4" w:rsidP="009F51F4">
            <w:pPr>
              <w:pStyle w:val="ListParagraph"/>
              <w:numPr>
                <w:ilvl w:val="0"/>
                <w:numId w:val="1"/>
              </w:numPr>
              <w:jc w:val="both"/>
              <w:rPr>
                <w:sz w:val="24"/>
                <w:szCs w:val="24"/>
              </w:rPr>
            </w:pPr>
            <w:r>
              <w:rPr>
                <w:rFonts w:cstheme="minorHAnsi"/>
                <w:b/>
                <w:bCs/>
                <w:color w:val="000000"/>
                <w:sz w:val="18"/>
                <w:szCs w:val="18"/>
              </w:rPr>
              <w:t>3 400-3 410</w:t>
            </w:r>
          </w:p>
          <w:p w:rsidR="009F51F4" w:rsidRPr="00B537E5" w:rsidRDefault="009F51F4" w:rsidP="009F51F4">
            <w:pPr>
              <w:pStyle w:val="ListParagraph"/>
              <w:numPr>
                <w:ilvl w:val="0"/>
                <w:numId w:val="1"/>
              </w:numPr>
              <w:jc w:val="both"/>
              <w:rPr>
                <w:sz w:val="24"/>
                <w:szCs w:val="24"/>
              </w:rPr>
            </w:pPr>
            <w:r>
              <w:rPr>
                <w:rFonts w:cstheme="minorHAnsi"/>
                <w:b/>
                <w:bCs/>
                <w:color w:val="000000"/>
                <w:sz w:val="18"/>
                <w:szCs w:val="18"/>
              </w:rPr>
              <w:t>3 425-3 440</w:t>
            </w:r>
          </w:p>
          <w:p w:rsidR="009F51F4" w:rsidRDefault="009F51F4" w:rsidP="009F51F4">
            <w:pPr>
              <w:jc w:val="both"/>
              <w:rPr>
                <w:sz w:val="24"/>
                <w:szCs w:val="24"/>
              </w:rPr>
            </w:pPr>
          </w:p>
          <w:p w:rsidR="009F51F4" w:rsidRDefault="009F51F4" w:rsidP="009F51F4">
            <w:pPr>
              <w:jc w:val="both"/>
              <w:rPr>
                <w:sz w:val="24"/>
                <w:szCs w:val="24"/>
              </w:rPr>
            </w:pPr>
            <w:r>
              <w:rPr>
                <w:sz w:val="24"/>
                <w:szCs w:val="24"/>
              </w:rPr>
              <w:t>For Region 1:</w:t>
            </w:r>
          </w:p>
          <w:p w:rsidR="009F51F4" w:rsidRPr="00B537E5" w:rsidRDefault="009F51F4" w:rsidP="009F51F4">
            <w:pPr>
              <w:pStyle w:val="ListParagraph"/>
              <w:numPr>
                <w:ilvl w:val="0"/>
                <w:numId w:val="1"/>
              </w:numPr>
              <w:jc w:val="both"/>
              <w:rPr>
                <w:sz w:val="24"/>
                <w:szCs w:val="24"/>
              </w:rPr>
            </w:pPr>
            <w:r>
              <w:rPr>
                <w:rFonts w:cstheme="minorHAnsi"/>
                <w:b/>
                <w:bCs/>
                <w:color w:val="000000"/>
                <w:sz w:val="18"/>
                <w:szCs w:val="18"/>
              </w:rPr>
              <w:t>2 010-2 025</w:t>
            </w:r>
          </w:p>
          <w:p w:rsidR="009F51F4" w:rsidRDefault="009F51F4" w:rsidP="009F51F4">
            <w:pPr>
              <w:jc w:val="both"/>
              <w:rPr>
                <w:sz w:val="24"/>
                <w:szCs w:val="24"/>
              </w:rPr>
            </w:pPr>
          </w:p>
          <w:p w:rsidR="009F51F4" w:rsidRPr="00B537E5" w:rsidRDefault="009F51F4" w:rsidP="009F51F4">
            <w:pPr>
              <w:jc w:val="both"/>
              <w:rPr>
                <w:sz w:val="24"/>
                <w:szCs w:val="24"/>
              </w:rPr>
            </w:pPr>
          </w:p>
        </w:tc>
        <w:tc>
          <w:tcPr>
            <w:tcW w:w="3466" w:type="dxa"/>
          </w:tcPr>
          <w:p w:rsidR="009F51F4" w:rsidRDefault="009F51F4" w:rsidP="009F51F4">
            <w:pPr>
              <w:jc w:val="both"/>
            </w:pPr>
          </w:p>
        </w:tc>
      </w:tr>
      <w:tr w:rsidR="000620BA" w:rsidTr="009F51F4">
        <w:tc>
          <w:tcPr>
            <w:tcW w:w="815" w:type="dxa"/>
          </w:tcPr>
          <w:p w:rsidR="009F51F4" w:rsidRPr="00783859" w:rsidRDefault="000620BA" w:rsidP="009F51F4">
            <w:pPr>
              <w:jc w:val="both"/>
              <w:rPr>
                <w:sz w:val="24"/>
                <w:szCs w:val="24"/>
              </w:rPr>
            </w:pPr>
            <w:r>
              <w:rPr>
                <w:sz w:val="24"/>
                <w:szCs w:val="24"/>
              </w:rPr>
              <w:t>11</w:t>
            </w:r>
          </w:p>
        </w:tc>
        <w:tc>
          <w:tcPr>
            <w:tcW w:w="900" w:type="dxa"/>
          </w:tcPr>
          <w:p w:rsidR="009F51F4" w:rsidRPr="00783859" w:rsidRDefault="009F51F4" w:rsidP="009F51F4">
            <w:pPr>
              <w:jc w:val="both"/>
              <w:rPr>
                <w:sz w:val="24"/>
                <w:szCs w:val="24"/>
              </w:rPr>
            </w:pPr>
            <w:r w:rsidRPr="00783859">
              <w:rPr>
                <w:rFonts w:cstheme="minorHAnsi"/>
                <w:b/>
                <w:bCs/>
                <w:color w:val="000000"/>
                <w:sz w:val="24"/>
                <w:szCs w:val="24"/>
              </w:rPr>
              <w:t>AMS(R)S</w:t>
            </w:r>
          </w:p>
        </w:tc>
        <w:tc>
          <w:tcPr>
            <w:tcW w:w="8589" w:type="dxa"/>
          </w:tcPr>
          <w:p w:rsidR="009F51F4" w:rsidRPr="00783859" w:rsidRDefault="009F51F4" w:rsidP="009F51F4">
            <w:pPr>
              <w:jc w:val="both"/>
              <w:rPr>
                <w:sz w:val="24"/>
                <w:szCs w:val="24"/>
              </w:rPr>
            </w:pPr>
            <w:r w:rsidRPr="00783859">
              <w:rPr>
                <w:rFonts w:eastAsia="SimSun" w:cstheme="minorHAnsi"/>
                <w:color w:val="000000"/>
                <w:sz w:val="24"/>
                <w:szCs w:val="24"/>
              </w:rPr>
              <w:t>t</w:t>
            </w:r>
            <w:r w:rsidRPr="00783859">
              <w:rPr>
                <w:rFonts w:cstheme="minorHAnsi"/>
                <w:color w:val="000000"/>
                <w:sz w:val="24"/>
                <w:szCs w:val="24"/>
              </w:rPr>
              <w:t xml:space="preserve">o consider an aeronautical mobile-satellite (R) service (AMS(R)S) allocation in accordance with Resolution </w:t>
            </w:r>
            <w:r w:rsidRPr="00783859">
              <w:rPr>
                <w:rFonts w:cstheme="minorHAnsi"/>
                <w:b/>
                <w:bCs/>
                <w:color w:val="000000"/>
                <w:sz w:val="24"/>
                <w:szCs w:val="24"/>
              </w:rPr>
              <w:t>[SWG6B1/</w:t>
            </w:r>
            <w:r w:rsidRPr="00783859">
              <w:rPr>
                <w:rFonts w:cstheme="minorHAnsi"/>
                <w:b/>
                <w:sz w:val="24"/>
                <w:szCs w:val="24"/>
              </w:rPr>
              <w:t>SAT-VHF</w:t>
            </w:r>
            <w:r w:rsidRPr="00783859">
              <w:rPr>
                <w:rFonts w:cstheme="minorHAnsi"/>
                <w:sz w:val="24"/>
                <w:szCs w:val="24"/>
              </w:rPr>
              <w:t>]</w:t>
            </w:r>
            <w:r w:rsidRPr="00783859">
              <w:rPr>
                <w:rFonts w:cstheme="minorHAnsi"/>
                <w:caps/>
                <w:kern w:val="2"/>
                <w:sz w:val="24"/>
                <w:szCs w:val="24"/>
              </w:rPr>
              <w:t xml:space="preserve"> </w:t>
            </w:r>
            <w:r w:rsidRPr="00783859">
              <w:rPr>
                <w:rFonts w:cstheme="minorHAnsi"/>
                <w:b/>
                <w:bCs/>
                <w:sz w:val="24"/>
                <w:szCs w:val="24"/>
              </w:rPr>
              <w:t xml:space="preserve">(WRC-19) </w:t>
            </w:r>
            <w:r w:rsidRPr="00783859">
              <w:rPr>
                <w:rFonts w:cstheme="minorHAnsi"/>
                <w:color w:val="000000"/>
                <w:sz w:val="24"/>
                <w:szCs w:val="24"/>
              </w:rPr>
              <w:t>for both the uplink and downlink of aeronautical VHF applications</w:t>
            </w:r>
            <w:r w:rsidRPr="00783859">
              <w:rPr>
                <w:rFonts w:cstheme="minorHAnsi"/>
                <w:sz w:val="24"/>
                <w:szCs w:val="24"/>
              </w:rPr>
              <w:t xml:space="preserve"> in all or </w:t>
            </w:r>
            <w:r w:rsidRPr="00783859">
              <w:rPr>
                <w:rFonts w:cstheme="minorHAnsi"/>
                <w:sz w:val="24"/>
                <w:szCs w:val="24"/>
              </w:rPr>
              <w:t xml:space="preserve">part of the frequency band </w:t>
            </w:r>
            <w:r w:rsidRPr="00783859">
              <w:rPr>
                <w:rFonts w:cstheme="minorHAnsi"/>
                <w:sz w:val="24"/>
                <w:szCs w:val="24"/>
              </w:rPr>
              <w:t>117.975</w:t>
            </w:r>
            <w:r w:rsidRPr="00783859">
              <w:rPr>
                <w:rFonts w:cstheme="minorHAnsi"/>
                <w:sz w:val="24"/>
                <w:szCs w:val="24"/>
              </w:rPr>
              <w:noBreakHyphen/>
              <w:t>137 MHz, while preventing any undue constraints on existing VHF systems operating in the AM(R)S, the ARNS, and in adjacent frequency bands;</w:t>
            </w:r>
          </w:p>
        </w:tc>
        <w:tc>
          <w:tcPr>
            <w:tcW w:w="3466" w:type="dxa"/>
          </w:tcPr>
          <w:p w:rsidR="009F51F4" w:rsidRDefault="009F51F4" w:rsidP="009F51F4">
            <w:pPr>
              <w:jc w:val="both"/>
            </w:pPr>
          </w:p>
        </w:tc>
      </w:tr>
      <w:tr w:rsidR="000620BA" w:rsidTr="009F51F4">
        <w:tc>
          <w:tcPr>
            <w:tcW w:w="815" w:type="dxa"/>
          </w:tcPr>
          <w:p w:rsidR="009F51F4" w:rsidRPr="00783859" w:rsidRDefault="000620BA" w:rsidP="009F51F4">
            <w:pPr>
              <w:jc w:val="both"/>
              <w:rPr>
                <w:rFonts w:cstheme="minorHAnsi"/>
                <w:b/>
                <w:bCs/>
                <w:color w:val="000000"/>
                <w:sz w:val="24"/>
                <w:szCs w:val="24"/>
              </w:rPr>
            </w:pPr>
            <w:r>
              <w:rPr>
                <w:rFonts w:cstheme="minorHAnsi"/>
                <w:b/>
                <w:bCs/>
                <w:color w:val="000000"/>
                <w:sz w:val="24"/>
                <w:szCs w:val="24"/>
              </w:rPr>
              <w:t>12</w:t>
            </w:r>
          </w:p>
        </w:tc>
        <w:tc>
          <w:tcPr>
            <w:tcW w:w="900" w:type="dxa"/>
          </w:tcPr>
          <w:p w:rsidR="009F51F4" w:rsidRPr="00783859" w:rsidRDefault="009F51F4" w:rsidP="009F51F4">
            <w:pPr>
              <w:jc w:val="both"/>
              <w:rPr>
                <w:rFonts w:cstheme="minorHAnsi"/>
                <w:b/>
                <w:bCs/>
                <w:color w:val="000000"/>
                <w:sz w:val="24"/>
                <w:szCs w:val="24"/>
              </w:rPr>
            </w:pPr>
            <w:r w:rsidRPr="00783859">
              <w:rPr>
                <w:rFonts w:cstheme="minorHAnsi"/>
                <w:b/>
                <w:bCs/>
                <w:color w:val="000000"/>
                <w:sz w:val="24"/>
                <w:szCs w:val="24"/>
              </w:rPr>
              <w:t>Appendix 27</w:t>
            </w:r>
          </w:p>
        </w:tc>
        <w:tc>
          <w:tcPr>
            <w:tcW w:w="8589" w:type="dxa"/>
          </w:tcPr>
          <w:p w:rsidR="009F51F4" w:rsidRPr="00783859" w:rsidRDefault="009F51F4" w:rsidP="009F51F4">
            <w:pPr>
              <w:jc w:val="both"/>
              <w:rPr>
                <w:rFonts w:eastAsia="SimSun" w:cstheme="minorHAnsi"/>
                <w:color w:val="000000"/>
                <w:sz w:val="24"/>
                <w:szCs w:val="24"/>
              </w:rPr>
            </w:pPr>
            <w:r w:rsidRPr="00783859">
              <w:rPr>
                <w:rFonts w:cstheme="minorHAnsi"/>
                <w:sz w:val="24"/>
                <w:szCs w:val="24"/>
              </w:rPr>
              <w:t xml:space="preserve">to review Appendix </w:t>
            </w:r>
            <w:r w:rsidRPr="00783859">
              <w:rPr>
                <w:rFonts w:cstheme="minorHAnsi"/>
                <w:b/>
                <w:sz w:val="24"/>
                <w:szCs w:val="24"/>
              </w:rPr>
              <w:t>27</w:t>
            </w:r>
            <w:r w:rsidRPr="00783859">
              <w:rPr>
                <w:rFonts w:cstheme="minorHAnsi"/>
                <w:sz w:val="24"/>
                <w:szCs w:val="24"/>
              </w:rPr>
              <w:t xml:space="preserve"> of the Radio Regulations and consider appropriate regulatory actions and updates based on ITU-R studies, in order to </w:t>
            </w:r>
            <w:r w:rsidRPr="00783859">
              <w:rPr>
                <w:rStyle w:val="Strong"/>
                <w:rFonts w:cstheme="minorHAnsi"/>
                <w:sz w:val="24"/>
                <w:szCs w:val="24"/>
              </w:rPr>
              <w:t xml:space="preserve">accommodate </w:t>
            </w:r>
            <w:r w:rsidRPr="00783859">
              <w:rPr>
                <w:rFonts w:cstheme="minorHAnsi"/>
                <w:bCs/>
                <w:sz w:val="24"/>
                <w:szCs w:val="24"/>
              </w:rPr>
              <w:t xml:space="preserve">digital </w:t>
            </w:r>
            <w:r w:rsidRPr="00783859">
              <w:rPr>
                <w:rFonts w:cstheme="minorHAnsi"/>
                <w:bCs/>
                <w:sz w:val="24"/>
                <w:szCs w:val="24"/>
              </w:rPr>
              <w:lastRenderedPageBreak/>
              <w:t>technologies</w:t>
            </w:r>
            <w:r w:rsidRPr="00783859">
              <w:rPr>
                <w:rFonts w:cstheme="minorHAnsi"/>
                <w:sz w:val="24"/>
                <w:szCs w:val="24"/>
              </w:rPr>
              <w:t xml:space="preserve"> for commercial aviation safety-of-life applications in existing HF bands allocated to the aeronautical mobile (route) service and ensure coexistence of current HF systems alongside modernized HF systems, in accordance with Resolution </w:t>
            </w:r>
            <w:r w:rsidRPr="00783859">
              <w:rPr>
                <w:rFonts w:cstheme="minorHAnsi"/>
                <w:b/>
                <w:sz w:val="24"/>
                <w:szCs w:val="24"/>
              </w:rPr>
              <w:t>[SWG6B1/1-APPENDIX-27] (WRC-19)</w:t>
            </w:r>
            <w:r w:rsidRPr="00783859">
              <w:rPr>
                <w:rFonts w:cstheme="minorHAnsi"/>
                <w:sz w:val="24"/>
                <w:szCs w:val="24"/>
              </w:rPr>
              <w:t>;</w:t>
            </w:r>
          </w:p>
        </w:tc>
        <w:tc>
          <w:tcPr>
            <w:tcW w:w="3466" w:type="dxa"/>
          </w:tcPr>
          <w:p w:rsidR="009F51F4" w:rsidRDefault="009F51F4" w:rsidP="009F51F4">
            <w:pPr>
              <w:jc w:val="both"/>
            </w:pPr>
          </w:p>
        </w:tc>
      </w:tr>
      <w:tr w:rsidR="000620BA" w:rsidTr="009F51F4">
        <w:tc>
          <w:tcPr>
            <w:tcW w:w="815" w:type="dxa"/>
          </w:tcPr>
          <w:p w:rsidR="009F51F4" w:rsidRPr="00783859" w:rsidRDefault="000620BA" w:rsidP="009F51F4">
            <w:pPr>
              <w:jc w:val="both"/>
              <w:rPr>
                <w:rFonts w:cstheme="minorHAnsi"/>
                <w:b/>
                <w:bCs/>
                <w:color w:val="000000"/>
                <w:sz w:val="24"/>
                <w:szCs w:val="24"/>
              </w:rPr>
            </w:pPr>
            <w:r>
              <w:rPr>
                <w:rFonts w:cstheme="minorHAnsi"/>
                <w:b/>
                <w:bCs/>
                <w:color w:val="000000"/>
                <w:sz w:val="24"/>
                <w:szCs w:val="24"/>
              </w:rPr>
              <w:lastRenderedPageBreak/>
              <w:t>13</w:t>
            </w:r>
          </w:p>
        </w:tc>
        <w:tc>
          <w:tcPr>
            <w:tcW w:w="900" w:type="dxa"/>
          </w:tcPr>
          <w:p w:rsidR="009F51F4" w:rsidRPr="00783859" w:rsidRDefault="009F51F4" w:rsidP="009F51F4">
            <w:pPr>
              <w:jc w:val="both"/>
              <w:rPr>
                <w:rFonts w:cstheme="minorHAnsi"/>
                <w:b/>
                <w:bCs/>
                <w:color w:val="000000"/>
                <w:sz w:val="24"/>
                <w:szCs w:val="24"/>
              </w:rPr>
            </w:pPr>
            <w:r w:rsidRPr="00783859">
              <w:rPr>
                <w:rFonts w:cstheme="minorHAnsi"/>
                <w:b/>
                <w:bCs/>
                <w:color w:val="000000"/>
                <w:sz w:val="24"/>
                <w:szCs w:val="24"/>
              </w:rPr>
              <w:t>GMDSS and e-navigation</w:t>
            </w:r>
          </w:p>
        </w:tc>
        <w:tc>
          <w:tcPr>
            <w:tcW w:w="8589" w:type="dxa"/>
          </w:tcPr>
          <w:p w:rsidR="009F51F4" w:rsidRPr="00783859" w:rsidRDefault="009F51F4" w:rsidP="009F51F4">
            <w:pPr>
              <w:jc w:val="both"/>
              <w:rPr>
                <w:rFonts w:cstheme="minorHAnsi"/>
                <w:sz w:val="24"/>
                <w:szCs w:val="24"/>
              </w:rPr>
            </w:pPr>
            <w:r w:rsidRPr="00783859">
              <w:rPr>
                <w:rFonts w:cstheme="minorHAnsi"/>
                <w:sz w:val="24"/>
                <w:szCs w:val="24"/>
              </w:rPr>
              <w:t xml:space="preserve">to consider possible regulatory actions to support the modernization of the Global Maritime Distress and Safety System and the implementation of e-navigation, in accordance with Resolution </w:t>
            </w:r>
            <w:r w:rsidRPr="00783859">
              <w:rPr>
                <w:rFonts w:cstheme="minorHAnsi"/>
                <w:b/>
                <w:sz w:val="24"/>
                <w:szCs w:val="24"/>
              </w:rPr>
              <w:t>361 (Rev.WRC-19)</w:t>
            </w:r>
            <w:r w:rsidRPr="00783859">
              <w:rPr>
                <w:rFonts w:cstheme="minorHAnsi"/>
                <w:sz w:val="24"/>
                <w:szCs w:val="24"/>
              </w:rPr>
              <w:t>;</w:t>
            </w:r>
          </w:p>
        </w:tc>
        <w:tc>
          <w:tcPr>
            <w:tcW w:w="3466" w:type="dxa"/>
          </w:tcPr>
          <w:p w:rsidR="009F51F4" w:rsidRDefault="009F51F4" w:rsidP="009F51F4">
            <w:pPr>
              <w:jc w:val="both"/>
            </w:pPr>
          </w:p>
        </w:tc>
      </w:tr>
      <w:tr w:rsidR="000620BA" w:rsidTr="009F51F4">
        <w:tc>
          <w:tcPr>
            <w:tcW w:w="815" w:type="dxa"/>
          </w:tcPr>
          <w:p w:rsidR="009F51F4" w:rsidRPr="00783859" w:rsidRDefault="000620BA" w:rsidP="009F51F4">
            <w:pPr>
              <w:jc w:val="both"/>
              <w:rPr>
                <w:rFonts w:cstheme="minorHAnsi"/>
                <w:b/>
                <w:bCs/>
                <w:color w:val="000000"/>
                <w:sz w:val="24"/>
                <w:szCs w:val="24"/>
              </w:rPr>
            </w:pPr>
            <w:r>
              <w:rPr>
                <w:rFonts w:cstheme="minorHAnsi"/>
                <w:b/>
                <w:bCs/>
                <w:color w:val="000000"/>
                <w:sz w:val="24"/>
                <w:szCs w:val="24"/>
              </w:rPr>
              <w:t>14</w:t>
            </w:r>
          </w:p>
        </w:tc>
        <w:tc>
          <w:tcPr>
            <w:tcW w:w="900" w:type="dxa"/>
          </w:tcPr>
          <w:p w:rsidR="009F51F4" w:rsidRPr="00783859" w:rsidRDefault="009F51F4" w:rsidP="009F51F4">
            <w:pPr>
              <w:jc w:val="both"/>
              <w:rPr>
                <w:rFonts w:cstheme="minorHAnsi"/>
                <w:b/>
                <w:bCs/>
                <w:color w:val="000000"/>
                <w:sz w:val="24"/>
                <w:szCs w:val="24"/>
              </w:rPr>
            </w:pPr>
            <w:r w:rsidRPr="00783859">
              <w:rPr>
                <w:rFonts w:cstheme="minorHAnsi"/>
                <w:b/>
                <w:bCs/>
                <w:color w:val="000000"/>
                <w:sz w:val="24"/>
                <w:szCs w:val="24"/>
              </w:rPr>
              <w:t>Resolution 155</w:t>
            </w:r>
          </w:p>
        </w:tc>
        <w:tc>
          <w:tcPr>
            <w:tcW w:w="8589" w:type="dxa"/>
          </w:tcPr>
          <w:p w:rsidR="009F51F4" w:rsidRPr="00783859" w:rsidRDefault="009F51F4" w:rsidP="009F51F4">
            <w:pPr>
              <w:jc w:val="both"/>
              <w:rPr>
                <w:rFonts w:cstheme="minorHAnsi"/>
                <w:sz w:val="24"/>
                <w:szCs w:val="24"/>
              </w:rPr>
            </w:pPr>
            <w:r w:rsidRPr="00783859">
              <w:rPr>
                <w:rFonts w:cstheme="minorHAnsi"/>
                <w:sz w:val="24"/>
                <w:szCs w:val="24"/>
              </w:rPr>
              <w:t>to consider, on the basis of ITU</w:t>
            </w:r>
            <w:r w:rsidRPr="00783859">
              <w:rPr>
                <w:rFonts w:cstheme="minorHAnsi"/>
                <w:sz w:val="24"/>
                <w:szCs w:val="24"/>
              </w:rPr>
              <w:noBreakHyphen/>
              <w:t xml:space="preserve">R studies in accordance with Resolution </w:t>
            </w:r>
            <w:r w:rsidRPr="00783859">
              <w:rPr>
                <w:rFonts w:cstheme="minorHAnsi"/>
                <w:b/>
                <w:sz w:val="24"/>
                <w:szCs w:val="24"/>
              </w:rPr>
              <w:t>[SWG6B1/5</w:t>
            </w:r>
            <w:r w:rsidRPr="00783859">
              <w:rPr>
                <w:rFonts w:cstheme="minorHAnsi"/>
                <w:b/>
                <w:sz w:val="24"/>
                <w:szCs w:val="24"/>
              </w:rPr>
              <w:noBreakHyphen/>
              <w:t>RES155] (WRC</w:t>
            </w:r>
            <w:r w:rsidRPr="00783859">
              <w:rPr>
                <w:rFonts w:cstheme="minorHAnsi"/>
                <w:b/>
                <w:sz w:val="24"/>
                <w:szCs w:val="24"/>
              </w:rPr>
              <w:noBreakHyphen/>
              <w:t>19)</w:t>
            </w:r>
            <w:r w:rsidRPr="00783859">
              <w:rPr>
                <w:rFonts w:cstheme="minorHAnsi"/>
                <w:sz w:val="24"/>
                <w:szCs w:val="24"/>
              </w:rPr>
              <w:t xml:space="preserve">, appropriate regulatory actions, with a view to reviewing and, if necessary, revising Resolution </w:t>
            </w:r>
            <w:r w:rsidRPr="00783859">
              <w:rPr>
                <w:rFonts w:cstheme="minorHAnsi"/>
                <w:b/>
                <w:sz w:val="24"/>
                <w:szCs w:val="24"/>
              </w:rPr>
              <w:t>155 (WRC</w:t>
            </w:r>
            <w:r w:rsidRPr="00783859">
              <w:rPr>
                <w:rFonts w:cstheme="minorHAnsi"/>
                <w:b/>
                <w:sz w:val="24"/>
                <w:szCs w:val="24"/>
              </w:rPr>
              <w:noBreakHyphen/>
              <w:t>15)</w:t>
            </w:r>
            <w:r w:rsidRPr="00783859">
              <w:rPr>
                <w:rFonts w:cstheme="minorHAnsi"/>
                <w:sz w:val="24"/>
                <w:szCs w:val="24"/>
              </w:rPr>
              <w:t xml:space="preserve"> and No. </w:t>
            </w:r>
            <w:r w:rsidRPr="00783859">
              <w:rPr>
                <w:rFonts w:cstheme="minorHAnsi"/>
                <w:b/>
                <w:sz w:val="24"/>
                <w:szCs w:val="24"/>
              </w:rPr>
              <w:t>5.484B</w:t>
            </w:r>
            <w:r w:rsidRPr="00783859">
              <w:rPr>
                <w:rFonts w:cstheme="minorHAnsi"/>
                <w:sz w:val="24"/>
                <w:szCs w:val="24"/>
              </w:rPr>
              <w:t xml:space="preserve"> to accommodate the use of fixed-satellite service (FSS) networks by Control and Non-Payload Communications of Unmanned Aircraft Systems;</w:t>
            </w:r>
          </w:p>
        </w:tc>
        <w:tc>
          <w:tcPr>
            <w:tcW w:w="3466" w:type="dxa"/>
          </w:tcPr>
          <w:p w:rsidR="009F51F4" w:rsidRDefault="009F51F4" w:rsidP="009F51F4">
            <w:pPr>
              <w:jc w:val="both"/>
            </w:pPr>
          </w:p>
        </w:tc>
      </w:tr>
      <w:tr w:rsidR="000620BA" w:rsidTr="009F51F4">
        <w:tc>
          <w:tcPr>
            <w:tcW w:w="815" w:type="dxa"/>
          </w:tcPr>
          <w:p w:rsidR="009F51F4" w:rsidRPr="009F51F4" w:rsidRDefault="000620BA" w:rsidP="009F51F4">
            <w:pPr>
              <w:jc w:val="both"/>
              <w:rPr>
                <w:rFonts w:cstheme="minorHAnsi"/>
                <w:b/>
                <w:bCs/>
                <w:color w:val="000000"/>
              </w:rPr>
            </w:pPr>
            <w:r>
              <w:rPr>
                <w:rFonts w:cstheme="minorHAnsi"/>
                <w:b/>
                <w:bCs/>
                <w:color w:val="000000"/>
              </w:rPr>
              <w:t>15</w:t>
            </w:r>
          </w:p>
        </w:tc>
        <w:tc>
          <w:tcPr>
            <w:tcW w:w="900" w:type="dxa"/>
          </w:tcPr>
          <w:p w:rsidR="009F51F4" w:rsidRPr="009F51F4" w:rsidRDefault="009F51F4" w:rsidP="009F51F4">
            <w:pPr>
              <w:jc w:val="both"/>
              <w:rPr>
                <w:rFonts w:cstheme="minorHAnsi"/>
                <w:b/>
                <w:bCs/>
                <w:color w:val="000000"/>
              </w:rPr>
            </w:pPr>
            <w:r w:rsidRPr="009F51F4">
              <w:rPr>
                <w:rFonts w:cstheme="minorHAnsi"/>
                <w:b/>
                <w:bCs/>
                <w:color w:val="000000"/>
              </w:rPr>
              <w:t>Space borne radar sounders with EESS (active) secondary</w:t>
            </w:r>
          </w:p>
        </w:tc>
        <w:tc>
          <w:tcPr>
            <w:tcW w:w="8589" w:type="dxa"/>
          </w:tcPr>
          <w:p w:rsidR="009F51F4" w:rsidRPr="009F51F4" w:rsidRDefault="009F51F4" w:rsidP="009F51F4">
            <w:pPr>
              <w:jc w:val="both"/>
              <w:rPr>
                <w:rFonts w:cstheme="minorHAnsi"/>
              </w:rPr>
            </w:pPr>
            <w:r w:rsidRPr="009F51F4">
              <w:rPr>
                <w:rFonts w:cstheme="minorHAnsi"/>
              </w:rPr>
              <w:t xml:space="preserve">to conduct, and complete in time for WRC-23, studies for a possible new [secondary] allocation to the Earth exploration-satellite (active) service for spaceborne radar sounders within the range of frequencies around 45 MHz, taking into account the protection of incumbent services, including in adjacent bands, in accordance with Resolution </w:t>
            </w:r>
            <w:r w:rsidRPr="009F51F4">
              <w:rPr>
                <w:rFonts w:cstheme="minorHAnsi"/>
                <w:b/>
              </w:rPr>
              <w:t>656 (Rev.WRC-19)</w:t>
            </w:r>
            <w:r w:rsidRPr="009F51F4">
              <w:rPr>
                <w:rFonts w:cstheme="minorHAnsi"/>
              </w:rPr>
              <w:t>;</w:t>
            </w:r>
          </w:p>
        </w:tc>
        <w:tc>
          <w:tcPr>
            <w:tcW w:w="3466" w:type="dxa"/>
          </w:tcPr>
          <w:p w:rsidR="009F51F4" w:rsidRDefault="009F51F4" w:rsidP="009F51F4">
            <w:pPr>
              <w:jc w:val="both"/>
            </w:pPr>
          </w:p>
        </w:tc>
      </w:tr>
      <w:tr w:rsidR="000620BA" w:rsidTr="009F51F4">
        <w:tc>
          <w:tcPr>
            <w:tcW w:w="815" w:type="dxa"/>
          </w:tcPr>
          <w:p w:rsidR="009F51F4" w:rsidRDefault="000620BA" w:rsidP="009F51F4">
            <w:pPr>
              <w:jc w:val="both"/>
              <w:rPr>
                <w:rFonts w:cstheme="minorHAnsi"/>
                <w:b/>
                <w:bCs/>
                <w:color w:val="000000"/>
                <w:sz w:val="20"/>
                <w:szCs w:val="20"/>
              </w:rPr>
            </w:pPr>
            <w:r>
              <w:rPr>
                <w:rFonts w:cstheme="minorHAnsi"/>
                <w:b/>
                <w:bCs/>
                <w:color w:val="000000"/>
                <w:sz w:val="20"/>
                <w:szCs w:val="20"/>
              </w:rPr>
              <w:t>16</w:t>
            </w:r>
          </w:p>
        </w:tc>
        <w:tc>
          <w:tcPr>
            <w:tcW w:w="900" w:type="dxa"/>
          </w:tcPr>
          <w:p w:rsidR="009F51F4" w:rsidRPr="00783859" w:rsidRDefault="00D25258" w:rsidP="009F51F4">
            <w:pPr>
              <w:jc w:val="both"/>
              <w:rPr>
                <w:rFonts w:cstheme="minorHAnsi"/>
                <w:sz w:val="24"/>
                <w:szCs w:val="24"/>
              </w:rPr>
            </w:pPr>
            <w:r>
              <w:rPr>
                <w:rFonts w:cstheme="minorHAnsi"/>
                <w:b/>
                <w:bCs/>
                <w:color w:val="000000"/>
                <w:sz w:val="20"/>
                <w:szCs w:val="20"/>
              </w:rPr>
              <w:t>EESS &gt; 231 GHz</w:t>
            </w:r>
          </w:p>
        </w:tc>
        <w:tc>
          <w:tcPr>
            <w:tcW w:w="8589" w:type="dxa"/>
          </w:tcPr>
          <w:p w:rsidR="009F51F4" w:rsidRPr="00783859" w:rsidRDefault="00D25258" w:rsidP="009F51F4">
            <w:pPr>
              <w:jc w:val="both"/>
              <w:rPr>
                <w:rFonts w:cstheme="minorHAnsi"/>
                <w:sz w:val="24"/>
                <w:szCs w:val="24"/>
              </w:rPr>
            </w:pPr>
            <w:r>
              <w:rPr>
                <w:rFonts w:cstheme="minorHAnsi"/>
                <w:sz w:val="16"/>
                <w:szCs w:val="16"/>
              </w:rPr>
              <w:t xml:space="preserve">to review and consider possible adjustments of the existing or possible new primary frequency allocations to EESS (passive) in the frequency range 231.5-252 GHz, to ensure alignment with more up-to-date remote sensing observation requirements in accordance with Resolution </w:t>
            </w:r>
            <w:r>
              <w:rPr>
                <w:rFonts w:cstheme="minorHAnsi"/>
                <w:b/>
                <w:sz w:val="16"/>
                <w:szCs w:val="16"/>
              </w:rPr>
              <w:t>[EUR-R10-18] (WRC-19)</w:t>
            </w:r>
            <w:r>
              <w:rPr>
                <w:rFonts w:cstheme="minorHAnsi"/>
                <w:sz w:val="16"/>
                <w:szCs w:val="16"/>
              </w:rPr>
              <w:t>;</w:t>
            </w:r>
          </w:p>
        </w:tc>
        <w:tc>
          <w:tcPr>
            <w:tcW w:w="3466" w:type="dxa"/>
          </w:tcPr>
          <w:p w:rsidR="009F51F4" w:rsidRDefault="009F51F4" w:rsidP="009F51F4">
            <w:pPr>
              <w:jc w:val="both"/>
            </w:pPr>
          </w:p>
        </w:tc>
      </w:tr>
      <w:tr w:rsidR="009F51F4" w:rsidTr="009F51F4">
        <w:tc>
          <w:tcPr>
            <w:tcW w:w="815" w:type="dxa"/>
          </w:tcPr>
          <w:p w:rsidR="009F51F4" w:rsidRDefault="009F51F4" w:rsidP="009F51F4">
            <w:pPr>
              <w:jc w:val="both"/>
              <w:rPr>
                <w:rFonts w:cstheme="minorHAnsi"/>
                <w:b/>
                <w:bCs/>
                <w:color w:val="000000"/>
                <w:sz w:val="20"/>
                <w:szCs w:val="20"/>
              </w:rPr>
            </w:pPr>
          </w:p>
        </w:tc>
        <w:tc>
          <w:tcPr>
            <w:tcW w:w="900" w:type="dxa"/>
          </w:tcPr>
          <w:p w:rsidR="009F51F4" w:rsidRPr="00783859" w:rsidRDefault="009F51F4" w:rsidP="009F51F4">
            <w:pPr>
              <w:jc w:val="both"/>
              <w:rPr>
                <w:rFonts w:cstheme="minorHAnsi"/>
                <w:sz w:val="24"/>
                <w:szCs w:val="24"/>
              </w:rPr>
            </w:pPr>
          </w:p>
        </w:tc>
        <w:tc>
          <w:tcPr>
            <w:tcW w:w="8589" w:type="dxa"/>
          </w:tcPr>
          <w:p w:rsidR="009F51F4" w:rsidRPr="00783859" w:rsidRDefault="009F51F4" w:rsidP="009F51F4">
            <w:pPr>
              <w:jc w:val="both"/>
              <w:rPr>
                <w:rFonts w:cstheme="minorHAnsi"/>
                <w:sz w:val="24"/>
                <w:szCs w:val="24"/>
              </w:rPr>
            </w:pPr>
          </w:p>
        </w:tc>
        <w:tc>
          <w:tcPr>
            <w:tcW w:w="3466" w:type="dxa"/>
          </w:tcPr>
          <w:p w:rsidR="009F51F4" w:rsidRDefault="009F51F4" w:rsidP="009F51F4">
            <w:pPr>
              <w:jc w:val="both"/>
            </w:pPr>
          </w:p>
        </w:tc>
      </w:tr>
      <w:tr w:rsidR="009F51F4" w:rsidTr="009F51F4">
        <w:tc>
          <w:tcPr>
            <w:tcW w:w="815" w:type="dxa"/>
          </w:tcPr>
          <w:p w:rsidR="009F51F4" w:rsidRDefault="009F51F4" w:rsidP="009F51F4">
            <w:pPr>
              <w:jc w:val="both"/>
              <w:rPr>
                <w:rFonts w:cstheme="minorHAnsi"/>
                <w:b/>
                <w:bCs/>
                <w:color w:val="000000"/>
                <w:sz w:val="20"/>
                <w:szCs w:val="20"/>
              </w:rPr>
            </w:pPr>
          </w:p>
        </w:tc>
        <w:tc>
          <w:tcPr>
            <w:tcW w:w="900" w:type="dxa"/>
          </w:tcPr>
          <w:p w:rsidR="009F51F4" w:rsidRPr="00783859" w:rsidRDefault="009F51F4" w:rsidP="009F51F4">
            <w:pPr>
              <w:jc w:val="both"/>
              <w:rPr>
                <w:rFonts w:cstheme="minorHAnsi"/>
                <w:sz w:val="24"/>
                <w:szCs w:val="24"/>
              </w:rPr>
            </w:pPr>
          </w:p>
        </w:tc>
        <w:tc>
          <w:tcPr>
            <w:tcW w:w="8589" w:type="dxa"/>
          </w:tcPr>
          <w:p w:rsidR="009F51F4" w:rsidRPr="00783859" w:rsidRDefault="009F51F4" w:rsidP="009F51F4">
            <w:pPr>
              <w:jc w:val="both"/>
              <w:rPr>
                <w:rFonts w:cstheme="minorHAnsi"/>
                <w:sz w:val="24"/>
                <w:szCs w:val="24"/>
              </w:rPr>
            </w:pPr>
          </w:p>
        </w:tc>
        <w:tc>
          <w:tcPr>
            <w:tcW w:w="3466" w:type="dxa"/>
          </w:tcPr>
          <w:p w:rsidR="009F51F4" w:rsidRDefault="009F51F4" w:rsidP="009F51F4">
            <w:pPr>
              <w:jc w:val="both"/>
            </w:pPr>
          </w:p>
        </w:tc>
      </w:tr>
      <w:tr w:rsidR="009F51F4" w:rsidTr="009F51F4">
        <w:tc>
          <w:tcPr>
            <w:tcW w:w="815" w:type="dxa"/>
          </w:tcPr>
          <w:p w:rsidR="009F51F4" w:rsidRDefault="009F51F4" w:rsidP="009F51F4">
            <w:pPr>
              <w:jc w:val="both"/>
              <w:rPr>
                <w:rFonts w:cstheme="minorHAnsi"/>
                <w:b/>
                <w:bCs/>
                <w:color w:val="000000"/>
                <w:sz w:val="20"/>
                <w:szCs w:val="20"/>
              </w:rPr>
            </w:pPr>
          </w:p>
        </w:tc>
        <w:tc>
          <w:tcPr>
            <w:tcW w:w="900" w:type="dxa"/>
          </w:tcPr>
          <w:p w:rsidR="009F51F4" w:rsidRPr="005620FC" w:rsidRDefault="00B91E76" w:rsidP="009F51F4">
            <w:pPr>
              <w:jc w:val="both"/>
              <w:rPr>
                <w:rFonts w:cstheme="minorHAnsi"/>
                <w:sz w:val="24"/>
                <w:szCs w:val="24"/>
              </w:rPr>
            </w:pPr>
            <w:r w:rsidRPr="005620FC">
              <w:rPr>
                <w:rFonts w:cstheme="minorHAnsi"/>
                <w:b/>
                <w:bCs/>
                <w:color w:val="000000"/>
                <w:sz w:val="24"/>
                <w:szCs w:val="24"/>
              </w:rPr>
              <w:t>Space weather sensors</w:t>
            </w:r>
          </w:p>
        </w:tc>
        <w:tc>
          <w:tcPr>
            <w:tcW w:w="8589" w:type="dxa"/>
          </w:tcPr>
          <w:p w:rsidR="00B91E76" w:rsidRPr="005620FC" w:rsidRDefault="00B91E76" w:rsidP="009F51F4">
            <w:pPr>
              <w:jc w:val="both"/>
              <w:rPr>
                <w:rFonts w:cstheme="minorHAnsi"/>
                <w:sz w:val="24"/>
                <w:szCs w:val="24"/>
              </w:rPr>
            </w:pPr>
            <w:r w:rsidRPr="005620FC">
              <w:rPr>
                <w:rFonts w:cstheme="minorHAnsi"/>
                <w:sz w:val="24"/>
                <w:szCs w:val="24"/>
              </w:rPr>
              <w:t>Under AI 9.1:</w:t>
            </w:r>
          </w:p>
          <w:p w:rsidR="00B91E76" w:rsidRPr="005620FC" w:rsidRDefault="00B91E76" w:rsidP="009F51F4">
            <w:pPr>
              <w:jc w:val="both"/>
              <w:rPr>
                <w:rFonts w:cstheme="minorHAnsi"/>
                <w:sz w:val="24"/>
                <w:szCs w:val="24"/>
              </w:rPr>
            </w:pPr>
          </w:p>
          <w:p w:rsidR="009F51F4" w:rsidRPr="005620FC" w:rsidRDefault="00B91E76" w:rsidP="009F51F4">
            <w:pPr>
              <w:jc w:val="both"/>
              <w:rPr>
                <w:rFonts w:cstheme="minorHAnsi"/>
                <w:sz w:val="24"/>
                <w:szCs w:val="24"/>
              </w:rPr>
            </w:pPr>
            <w:r w:rsidRPr="005620FC">
              <w:rPr>
                <w:rFonts w:cstheme="minorHAnsi"/>
                <w:sz w:val="24"/>
                <w:szCs w:val="24"/>
              </w:rPr>
              <w:t xml:space="preserve">in accordance with Resolution </w:t>
            </w:r>
            <w:r w:rsidRPr="005620FC">
              <w:rPr>
                <w:rFonts w:cstheme="minorHAnsi"/>
                <w:b/>
                <w:sz w:val="24"/>
                <w:szCs w:val="24"/>
              </w:rPr>
              <w:t>657 (Rev.WRC-19)</w:t>
            </w:r>
            <w:r w:rsidRPr="005620FC">
              <w:rPr>
                <w:rFonts w:cstheme="minorHAnsi"/>
                <w:sz w:val="24"/>
                <w:szCs w:val="24"/>
              </w:rPr>
              <w:t>, to review the results of studies relating to the technical and operational characteristics, spectrum requirements and appropriate radio service designations for space weather sensors with a view to providing appropriate recognition and protection in the Radio Regulations without placing additional constraints on incumbent services;</w:t>
            </w:r>
          </w:p>
        </w:tc>
        <w:tc>
          <w:tcPr>
            <w:tcW w:w="3466" w:type="dxa"/>
          </w:tcPr>
          <w:p w:rsidR="009F51F4" w:rsidRDefault="00B91E76" w:rsidP="009F51F4">
            <w:pPr>
              <w:jc w:val="both"/>
            </w:pPr>
            <w:r>
              <w:t>With condition no regulatory changes at WRC23.</w:t>
            </w:r>
          </w:p>
        </w:tc>
      </w:tr>
      <w:tr w:rsidR="009F51F4" w:rsidTr="009F51F4">
        <w:tc>
          <w:tcPr>
            <w:tcW w:w="815" w:type="dxa"/>
          </w:tcPr>
          <w:p w:rsidR="009F51F4" w:rsidRDefault="009F51F4" w:rsidP="009F51F4">
            <w:pPr>
              <w:jc w:val="both"/>
              <w:rPr>
                <w:rFonts w:cstheme="minorHAnsi"/>
                <w:b/>
                <w:bCs/>
                <w:color w:val="000000"/>
                <w:sz w:val="20"/>
                <w:szCs w:val="20"/>
              </w:rPr>
            </w:pPr>
          </w:p>
        </w:tc>
        <w:tc>
          <w:tcPr>
            <w:tcW w:w="900" w:type="dxa"/>
          </w:tcPr>
          <w:p w:rsidR="009F51F4" w:rsidRPr="005620FC" w:rsidRDefault="005620FC" w:rsidP="009F51F4">
            <w:pPr>
              <w:jc w:val="both"/>
              <w:rPr>
                <w:rFonts w:cstheme="minorHAnsi"/>
                <w:sz w:val="24"/>
                <w:szCs w:val="24"/>
              </w:rPr>
            </w:pPr>
            <w:r w:rsidRPr="005620FC">
              <w:rPr>
                <w:rFonts w:cstheme="minorHAnsi"/>
                <w:sz w:val="24"/>
                <w:szCs w:val="24"/>
              </w:rPr>
              <w:t>FS BB</w:t>
            </w:r>
          </w:p>
        </w:tc>
        <w:tc>
          <w:tcPr>
            <w:tcW w:w="8589" w:type="dxa"/>
          </w:tcPr>
          <w:p w:rsidR="009F51F4" w:rsidRPr="005620FC" w:rsidRDefault="005620FC" w:rsidP="009F51F4">
            <w:pPr>
              <w:jc w:val="both"/>
              <w:rPr>
                <w:rFonts w:cstheme="minorHAnsi"/>
                <w:sz w:val="24"/>
                <w:szCs w:val="24"/>
              </w:rPr>
            </w:pPr>
            <w:r w:rsidRPr="005620FC">
              <w:rPr>
                <w:rFonts w:cstheme="minorHAnsi"/>
                <w:sz w:val="24"/>
                <w:szCs w:val="24"/>
              </w:rPr>
              <w:t>Under 9.1:</w:t>
            </w:r>
          </w:p>
          <w:p w:rsidR="005620FC" w:rsidRPr="005620FC" w:rsidRDefault="005620FC" w:rsidP="009F51F4">
            <w:pPr>
              <w:jc w:val="both"/>
              <w:rPr>
                <w:rFonts w:cstheme="minorHAnsi"/>
                <w:sz w:val="24"/>
                <w:szCs w:val="24"/>
              </w:rPr>
            </w:pPr>
          </w:p>
          <w:p w:rsidR="005620FC" w:rsidRPr="005620FC" w:rsidRDefault="005620FC" w:rsidP="005620FC">
            <w:pPr>
              <w:jc w:val="both"/>
              <w:rPr>
                <w:rFonts w:cstheme="minorHAnsi"/>
                <w:sz w:val="24"/>
                <w:szCs w:val="24"/>
              </w:rPr>
            </w:pPr>
            <w:r w:rsidRPr="005620FC">
              <w:rPr>
                <w:rFonts w:cstheme="minorHAnsi"/>
                <w:sz w:val="24"/>
                <w:szCs w:val="24"/>
              </w:rPr>
              <w:lastRenderedPageBreak/>
              <w:t>To study the use of International telecommunication system for Fixed Wireless BB in the frequency bands allocated to the Fixed Services on Primary basis.</w:t>
            </w:r>
          </w:p>
        </w:tc>
        <w:tc>
          <w:tcPr>
            <w:tcW w:w="3466" w:type="dxa"/>
          </w:tcPr>
          <w:p w:rsidR="009F51F4" w:rsidRDefault="009F51F4" w:rsidP="009F51F4">
            <w:pPr>
              <w:jc w:val="both"/>
            </w:pPr>
          </w:p>
        </w:tc>
      </w:tr>
      <w:tr w:rsidR="009F51F4" w:rsidTr="009F51F4">
        <w:tc>
          <w:tcPr>
            <w:tcW w:w="815" w:type="dxa"/>
          </w:tcPr>
          <w:p w:rsidR="009F51F4" w:rsidRDefault="009F51F4" w:rsidP="009F51F4">
            <w:pPr>
              <w:jc w:val="both"/>
              <w:rPr>
                <w:rFonts w:cstheme="minorHAnsi"/>
                <w:b/>
                <w:bCs/>
                <w:color w:val="000000"/>
                <w:sz w:val="20"/>
                <w:szCs w:val="20"/>
              </w:rPr>
            </w:pPr>
          </w:p>
        </w:tc>
        <w:tc>
          <w:tcPr>
            <w:tcW w:w="900" w:type="dxa"/>
          </w:tcPr>
          <w:p w:rsidR="009F51F4" w:rsidRPr="00783859" w:rsidRDefault="009F51F4" w:rsidP="009F51F4">
            <w:pPr>
              <w:jc w:val="both"/>
              <w:rPr>
                <w:rFonts w:cstheme="minorHAnsi"/>
                <w:sz w:val="24"/>
                <w:szCs w:val="24"/>
              </w:rPr>
            </w:pPr>
          </w:p>
        </w:tc>
        <w:tc>
          <w:tcPr>
            <w:tcW w:w="8589" w:type="dxa"/>
          </w:tcPr>
          <w:p w:rsidR="009F51F4" w:rsidRPr="00783859" w:rsidRDefault="009F51F4" w:rsidP="009F51F4">
            <w:pPr>
              <w:jc w:val="both"/>
              <w:rPr>
                <w:rFonts w:cstheme="minorHAnsi"/>
                <w:sz w:val="24"/>
                <w:szCs w:val="24"/>
              </w:rPr>
            </w:pPr>
          </w:p>
        </w:tc>
        <w:tc>
          <w:tcPr>
            <w:tcW w:w="3466" w:type="dxa"/>
          </w:tcPr>
          <w:p w:rsidR="009F51F4" w:rsidRDefault="009F51F4" w:rsidP="009F51F4">
            <w:pPr>
              <w:jc w:val="both"/>
            </w:pPr>
          </w:p>
        </w:tc>
      </w:tr>
    </w:tbl>
    <w:p w:rsidR="00437EEC" w:rsidRDefault="00437EEC" w:rsidP="00437EEC">
      <w:pPr>
        <w:jc w:val="both"/>
      </w:pPr>
    </w:p>
    <w:sectPr w:rsidR="00437EEC" w:rsidSect="009F51F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657BC"/>
    <w:multiLevelType w:val="hybridMultilevel"/>
    <w:tmpl w:val="B5BA28E0"/>
    <w:lvl w:ilvl="0" w:tplc="FCF2551E">
      <w:start w:val="3"/>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EEC"/>
    <w:rsid w:val="000620BA"/>
    <w:rsid w:val="000D3742"/>
    <w:rsid w:val="00124304"/>
    <w:rsid w:val="003F4C49"/>
    <w:rsid w:val="00437EEC"/>
    <w:rsid w:val="005620FC"/>
    <w:rsid w:val="006A0726"/>
    <w:rsid w:val="00783859"/>
    <w:rsid w:val="00853FE1"/>
    <w:rsid w:val="008E0F75"/>
    <w:rsid w:val="008E7B46"/>
    <w:rsid w:val="008F40E1"/>
    <w:rsid w:val="00922585"/>
    <w:rsid w:val="009F51F4"/>
    <w:rsid w:val="00A132FD"/>
    <w:rsid w:val="00B537E5"/>
    <w:rsid w:val="00B91E76"/>
    <w:rsid w:val="00C306E3"/>
    <w:rsid w:val="00C65177"/>
    <w:rsid w:val="00D25258"/>
    <w:rsid w:val="00DB47CE"/>
    <w:rsid w:val="00EB70C0"/>
    <w:rsid w:val="00F036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9AFD8"/>
  <w15:chartTrackingRefBased/>
  <w15:docId w15:val="{7EC6492F-4E80-40BB-BAF1-C401DFB69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7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next w:val="Normal"/>
    <w:rsid w:val="008F40E1"/>
    <w:pPr>
      <w:keepNext/>
      <w:tabs>
        <w:tab w:val="left" w:pos="1134"/>
        <w:tab w:val="left" w:pos="1871"/>
        <w:tab w:val="left" w:pos="2268"/>
      </w:tabs>
      <w:overflowPunct w:val="0"/>
      <w:autoSpaceDE w:val="0"/>
      <w:autoSpaceDN w:val="0"/>
      <w:adjustRightInd w:val="0"/>
      <w:spacing w:before="240" w:after="0" w:line="240" w:lineRule="auto"/>
      <w:textAlignment w:val="baseline"/>
    </w:pPr>
    <w:rPr>
      <w:rFonts w:ascii="Times New Roman" w:eastAsia="Times New Roman" w:hAnsi="Times New Roman Bold" w:cs="Times New Roman"/>
      <w:b/>
      <w:sz w:val="24"/>
      <w:szCs w:val="20"/>
      <w:lang w:val="en-GB"/>
    </w:rPr>
  </w:style>
  <w:style w:type="paragraph" w:customStyle="1" w:styleId="Reasons">
    <w:name w:val="Reasons"/>
    <w:basedOn w:val="Normal"/>
    <w:rsid w:val="008F40E1"/>
    <w:pPr>
      <w:tabs>
        <w:tab w:val="left" w:pos="1134"/>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8F40E1"/>
    <w:pPr>
      <w:ind w:left="720"/>
      <w:contextualSpacing/>
    </w:pPr>
  </w:style>
  <w:style w:type="character" w:styleId="Strong">
    <w:name w:val="Strong"/>
    <w:basedOn w:val="DefaultParagraphFont"/>
    <w:uiPriority w:val="22"/>
    <w:qFormat/>
    <w:rsid w:val="00DB47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938675">
      <w:bodyDiv w:val="1"/>
      <w:marLeft w:val="0"/>
      <w:marRight w:val="0"/>
      <w:marTop w:val="0"/>
      <w:marBottom w:val="0"/>
      <w:divBdr>
        <w:top w:val="none" w:sz="0" w:space="0" w:color="auto"/>
        <w:left w:val="none" w:sz="0" w:space="0" w:color="auto"/>
        <w:bottom w:val="none" w:sz="0" w:space="0" w:color="auto"/>
        <w:right w:val="none" w:sz="0" w:space="0" w:color="auto"/>
      </w:divBdr>
    </w:div>
    <w:div w:id="839731694">
      <w:bodyDiv w:val="1"/>
      <w:marLeft w:val="0"/>
      <w:marRight w:val="0"/>
      <w:marTop w:val="0"/>
      <w:marBottom w:val="0"/>
      <w:divBdr>
        <w:top w:val="none" w:sz="0" w:space="0" w:color="auto"/>
        <w:left w:val="none" w:sz="0" w:space="0" w:color="auto"/>
        <w:bottom w:val="none" w:sz="0" w:space="0" w:color="auto"/>
        <w:right w:val="none" w:sz="0" w:space="0" w:color="auto"/>
      </w:divBdr>
    </w:div>
    <w:div w:id="1007445508">
      <w:bodyDiv w:val="1"/>
      <w:marLeft w:val="0"/>
      <w:marRight w:val="0"/>
      <w:marTop w:val="0"/>
      <w:marBottom w:val="0"/>
      <w:divBdr>
        <w:top w:val="none" w:sz="0" w:space="0" w:color="auto"/>
        <w:left w:val="none" w:sz="0" w:space="0" w:color="auto"/>
        <w:bottom w:val="none" w:sz="0" w:space="0" w:color="auto"/>
        <w:right w:val="none" w:sz="0" w:space="0" w:color="auto"/>
      </w:divBdr>
    </w:div>
    <w:div w:id="1812095656">
      <w:bodyDiv w:val="1"/>
      <w:marLeft w:val="0"/>
      <w:marRight w:val="0"/>
      <w:marTop w:val="0"/>
      <w:marBottom w:val="0"/>
      <w:divBdr>
        <w:top w:val="none" w:sz="0" w:space="0" w:color="auto"/>
        <w:left w:val="none" w:sz="0" w:space="0" w:color="auto"/>
        <w:bottom w:val="none" w:sz="0" w:space="0" w:color="auto"/>
        <w:right w:val="none" w:sz="0" w:space="0" w:color="auto"/>
      </w:divBdr>
    </w:div>
    <w:div w:id="1953591780">
      <w:bodyDiv w:val="1"/>
      <w:marLeft w:val="0"/>
      <w:marRight w:val="0"/>
      <w:marTop w:val="0"/>
      <w:marBottom w:val="0"/>
      <w:divBdr>
        <w:top w:val="none" w:sz="0" w:space="0" w:color="auto"/>
        <w:left w:val="none" w:sz="0" w:space="0" w:color="auto"/>
        <w:bottom w:val="none" w:sz="0" w:space="0" w:color="auto"/>
        <w:right w:val="none" w:sz="0" w:space="0" w:color="auto"/>
      </w:divBdr>
    </w:div>
    <w:div w:id="202003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Tariq Al Awadhi</dc:creator>
  <cp:keywords/>
  <dc:description/>
  <cp:lastModifiedBy>Tariq Al Awadhi</cp:lastModifiedBy>
  <cp:revision>19</cp:revision>
  <dcterms:created xsi:type="dcterms:W3CDTF">2019-11-18T18:01:00Z</dcterms:created>
  <dcterms:modified xsi:type="dcterms:W3CDTF">2019-11-18T22:53:00Z</dcterms:modified>
</cp:coreProperties>
</file>