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756"/>
        <w:tblW w:w="11177" w:type="dxa"/>
        <w:tblLook w:val="04A0"/>
      </w:tblPr>
      <w:tblGrid>
        <w:gridCol w:w="1555"/>
        <w:gridCol w:w="298"/>
        <w:gridCol w:w="269"/>
        <w:gridCol w:w="795"/>
        <w:gridCol w:w="480"/>
        <w:gridCol w:w="295"/>
        <w:gridCol w:w="272"/>
        <w:gridCol w:w="1560"/>
        <w:gridCol w:w="8"/>
        <w:gridCol w:w="700"/>
        <w:gridCol w:w="142"/>
        <w:gridCol w:w="998"/>
        <w:gridCol w:w="1128"/>
        <w:gridCol w:w="837"/>
        <w:gridCol w:w="1840"/>
      </w:tblGrid>
      <w:tr w:rsidR="0077095D" w:rsidRPr="00D93A66" w:rsidTr="00D11CA0">
        <w:trPr>
          <w:trHeight w:val="283"/>
        </w:trPr>
        <w:tc>
          <w:tcPr>
            <w:tcW w:w="11177" w:type="dxa"/>
            <w:gridSpan w:val="15"/>
            <w:vAlign w:val="center"/>
          </w:tcPr>
          <w:p w:rsidR="0077095D" w:rsidRPr="006C7438" w:rsidRDefault="0077095D" w:rsidP="006C7438">
            <w:pPr>
              <w:pStyle w:val="ListParagraph"/>
              <w:numPr>
                <w:ilvl w:val="0"/>
                <w:numId w:val="4"/>
              </w:numPr>
              <w:jc w:val="left"/>
              <w:rPr>
                <w:rFonts w:cstheme="minorHAnsi"/>
                <w:b/>
                <w:sz w:val="28"/>
                <w:szCs w:val="28"/>
              </w:rPr>
            </w:pPr>
            <w:r w:rsidRPr="006C7438">
              <w:rPr>
                <w:rFonts w:cstheme="minorHAnsi"/>
                <w:b/>
                <w:sz w:val="28"/>
                <w:szCs w:val="28"/>
              </w:rPr>
              <w:t xml:space="preserve">Agenda item </w:t>
            </w:r>
            <w:r w:rsidR="008B0205">
              <w:rPr>
                <w:rFonts w:cstheme="minorHAnsi"/>
                <w:b/>
                <w:sz w:val="28"/>
                <w:szCs w:val="28"/>
              </w:rPr>
              <w:t>1.15</w:t>
            </w:r>
          </w:p>
        </w:tc>
      </w:tr>
      <w:tr w:rsidR="007E7577" w:rsidRPr="00D93A66" w:rsidTr="00D11CA0">
        <w:trPr>
          <w:trHeight w:val="694"/>
        </w:trPr>
        <w:tc>
          <w:tcPr>
            <w:tcW w:w="2122" w:type="dxa"/>
            <w:gridSpan w:val="3"/>
            <w:vMerge w:val="restart"/>
            <w:vAlign w:val="center"/>
          </w:tcPr>
          <w:p w:rsidR="007E7577" w:rsidRDefault="007E7577" w:rsidP="00D93A66">
            <w:pPr>
              <w:jc w:val="center"/>
              <w:rPr>
                <w:rFonts w:cstheme="minorHAnsi"/>
                <w:b/>
                <w:sz w:val="28"/>
                <w:szCs w:val="28"/>
              </w:rPr>
            </w:pPr>
            <w:r w:rsidRPr="00D93A66">
              <w:rPr>
                <w:rFonts w:cstheme="minorHAnsi"/>
                <w:b/>
                <w:sz w:val="28"/>
                <w:szCs w:val="28"/>
              </w:rPr>
              <w:t>Agenda Item</w:t>
            </w:r>
          </w:p>
          <w:p w:rsidR="007E7577" w:rsidRPr="005E5CFA" w:rsidRDefault="007E7577" w:rsidP="00D93A66">
            <w:pPr>
              <w:jc w:val="center"/>
              <w:rPr>
                <w:rFonts w:cstheme="minorHAnsi"/>
                <w:bCs/>
                <w:sz w:val="28"/>
                <w:szCs w:val="28"/>
              </w:rPr>
            </w:pPr>
            <w:r w:rsidRPr="005E5CFA">
              <w:rPr>
                <w:rFonts w:cstheme="minorHAnsi"/>
                <w:bCs/>
                <w:sz w:val="28"/>
                <w:szCs w:val="28"/>
              </w:rPr>
              <w:t>[Number]</w:t>
            </w:r>
          </w:p>
        </w:tc>
        <w:tc>
          <w:tcPr>
            <w:tcW w:w="9055" w:type="dxa"/>
            <w:gridSpan w:val="12"/>
          </w:tcPr>
          <w:p w:rsidR="007E7577" w:rsidRPr="00D11CA0" w:rsidRDefault="008B0205" w:rsidP="008B0205">
            <w:pPr>
              <w:rPr>
                <w:rFonts w:cstheme="minorHAnsi"/>
                <w:bCs/>
                <w:sz w:val="24"/>
                <w:szCs w:val="24"/>
              </w:rPr>
            </w:pPr>
            <w:r w:rsidRPr="00D11CA0">
              <w:rPr>
                <w:sz w:val="24"/>
                <w:szCs w:val="24"/>
              </w:rPr>
              <w:t xml:space="preserve">To harmonize the use of the frequency band 12.75-13.25 GHz (Earth-to-space) by earth stations on aircraft and vessels communicating with geostationary space stations in the fixed-satellite service globally, in accordance with Resolution </w:t>
            </w:r>
            <w:r w:rsidRPr="00D11CA0">
              <w:rPr>
                <w:b/>
                <w:bCs/>
                <w:sz w:val="24"/>
                <w:szCs w:val="24"/>
              </w:rPr>
              <w:t>172</w:t>
            </w:r>
            <w:r w:rsidRPr="00D11CA0">
              <w:rPr>
                <w:b/>
                <w:sz w:val="24"/>
                <w:szCs w:val="24"/>
              </w:rPr>
              <w:t xml:space="preserve"> (WRC</w:t>
            </w:r>
            <w:r w:rsidRPr="00D11CA0">
              <w:rPr>
                <w:b/>
                <w:sz w:val="24"/>
                <w:szCs w:val="24"/>
              </w:rPr>
              <w:noBreakHyphen/>
              <w:t>19)</w:t>
            </w:r>
          </w:p>
        </w:tc>
      </w:tr>
      <w:tr w:rsidR="007E7577" w:rsidRPr="00D93A66" w:rsidTr="00D11CA0">
        <w:trPr>
          <w:trHeight w:val="283"/>
        </w:trPr>
        <w:tc>
          <w:tcPr>
            <w:tcW w:w="2122" w:type="dxa"/>
            <w:gridSpan w:val="3"/>
            <w:vMerge/>
          </w:tcPr>
          <w:p w:rsidR="00D93A66" w:rsidRPr="00D93A66" w:rsidRDefault="00D93A66" w:rsidP="00D93A66">
            <w:pPr>
              <w:jc w:val="center"/>
              <w:rPr>
                <w:rFonts w:cstheme="minorHAnsi"/>
                <w:b/>
                <w:sz w:val="28"/>
                <w:szCs w:val="28"/>
              </w:rPr>
            </w:pPr>
          </w:p>
        </w:tc>
        <w:tc>
          <w:tcPr>
            <w:tcW w:w="1842" w:type="dxa"/>
            <w:gridSpan w:val="4"/>
          </w:tcPr>
          <w:p w:rsidR="00D93A66" w:rsidRPr="006C7438" w:rsidRDefault="00D93A66" w:rsidP="00D93A66">
            <w:pPr>
              <w:jc w:val="center"/>
              <w:rPr>
                <w:rFonts w:cstheme="minorHAnsi"/>
                <w:b/>
                <w:sz w:val="24"/>
                <w:szCs w:val="24"/>
              </w:rPr>
            </w:pPr>
            <w:r w:rsidRPr="006C7438">
              <w:rPr>
                <w:rFonts w:cstheme="minorHAnsi"/>
                <w:b/>
                <w:sz w:val="24"/>
                <w:szCs w:val="24"/>
              </w:rPr>
              <w:t>Working Group</w:t>
            </w:r>
          </w:p>
        </w:tc>
        <w:tc>
          <w:tcPr>
            <w:tcW w:w="2268" w:type="dxa"/>
            <w:gridSpan w:val="3"/>
          </w:tcPr>
          <w:p w:rsidR="00D93A66" w:rsidRPr="006C7438" w:rsidRDefault="008B0205" w:rsidP="00D93A66">
            <w:pPr>
              <w:jc w:val="center"/>
              <w:rPr>
                <w:rFonts w:cstheme="minorHAnsi"/>
                <w:bCs/>
                <w:sz w:val="24"/>
                <w:szCs w:val="24"/>
              </w:rPr>
            </w:pPr>
            <w:r>
              <w:rPr>
                <w:rFonts w:cstheme="minorHAnsi"/>
                <w:bCs/>
                <w:sz w:val="24"/>
                <w:szCs w:val="24"/>
              </w:rPr>
              <w:t>WG 4 (Chapter 4)</w:t>
            </w:r>
          </w:p>
        </w:tc>
        <w:tc>
          <w:tcPr>
            <w:tcW w:w="2268" w:type="dxa"/>
            <w:gridSpan w:val="3"/>
          </w:tcPr>
          <w:p w:rsidR="00D93A66" w:rsidRPr="006C7438" w:rsidRDefault="00D93A66" w:rsidP="00D93A66">
            <w:pPr>
              <w:jc w:val="center"/>
              <w:rPr>
                <w:rFonts w:cstheme="minorHAnsi"/>
                <w:b/>
                <w:sz w:val="24"/>
                <w:szCs w:val="24"/>
              </w:rPr>
            </w:pPr>
            <w:r w:rsidRPr="006C7438">
              <w:rPr>
                <w:rFonts w:cstheme="minorHAnsi"/>
                <w:b/>
                <w:sz w:val="24"/>
                <w:szCs w:val="24"/>
              </w:rPr>
              <w:t xml:space="preserve">Sub-Working Group </w:t>
            </w:r>
          </w:p>
        </w:tc>
        <w:tc>
          <w:tcPr>
            <w:tcW w:w="2677" w:type="dxa"/>
            <w:gridSpan w:val="2"/>
          </w:tcPr>
          <w:p w:rsidR="00D93A66" w:rsidRPr="006C7438" w:rsidRDefault="008B0205" w:rsidP="00D93A66">
            <w:pPr>
              <w:jc w:val="center"/>
              <w:rPr>
                <w:rFonts w:cstheme="minorHAnsi"/>
                <w:bCs/>
                <w:sz w:val="24"/>
                <w:szCs w:val="24"/>
              </w:rPr>
            </w:pPr>
            <w:r>
              <w:rPr>
                <w:rFonts w:cstheme="minorHAnsi"/>
                <w:bCs/>
                <w:sz w:val="24"/>
                <w:szCs w:val="24"/>
              </w:rPr>
              <w:t>SWG-4A</w:t>
            </w:r>
          </w:p>
        </w:tc>
      </w:tr>
      <w:tr w:rsidR="007E7577" w:rsidRPr="00D93A66" w:rsidTr="00D11CA0">
        <w:tc>
          <w:tcPr>
            <w:tcW w:w="1555" w:type="dxa"/>
          </w:tcPr>
          <w:p w:rsidR="00D93A66" w:rsidRPr="00D93A66" w:rsidRDefault="00D93A66" w:rsidP="00D93A66">
            <w:pPr>
              <w:jc w:val="center"/>
              <w:rPr>
                <w:rFonts w:cstheme="minorHAnsi"/>
                <w:b/>
                <w:sz w:val="24"/>
                <w:szCs w:val="24"/>
              </w:rPr>
            </w:pPr>
            <w:r w:rsidRPr="00D93A66">
              <w:rPr>
                <w:rFonts w:cstheme="minorHAnsi"/>
                <w:b/>
                <w:sz w:val="24"/>
                <w:szCs w:val="24"/>
              </w:rPr>
              <w:t>Coordinator</w:t>
            </w:r>
          </w:p>
        </w:tc>
        <w:tc>
          <w:tcPr>
            <w:tcW w:w="3969" w:type="dxa"/>
            <w:gridSpan w:val="7"/>
          </w:tcPr>
          <w:p w:rsidR="00D93A66" w:rsidRPr="00D93A66" w:rsidRDefault="008B0205" w:rsidP="008B0205">
            <w:pPr>
              <w:jc w:val="center"/>
              <w:rPr>
                <w:rFonts w:cstheme="minorHAnsi"/>
                <w:bCs/>
                <w:sz w:val="24"/>
                <w:szCs w:val="24"/>
              </w:rPr>
            </w:pPr>
            <w:r>
              <w:rPr>
                <w:rFonts w:cstheme="minorHAnsi"/>
                <w:bCs/>
                <w:sz w:val="24"/>
                <w:szCs w:val="24"/>
              </w:rPr>
              <w:t>Phung Nguyen Phuong</w:t>
            </w:r>
          </w:p>
        </w:tc>
        <w:tc>
          <w:tcPr>
            <w:tcW w:w="850" w:type="dxa"/>
            <w:gridSpan w:val="3"/>
          </w:tcPr>
          <w:p w:rsidR="00D93A66" w:rsidRPr="00D93A66" w:rsidRDefault="00D93A66" w:rsidP="00D93A66">
            <w:pPr>
              <w:jc w:val="center"/>
              <w:rPr>
                <w:rFonts w:cstheme="minorHAnsi"/>
                <w:b/>
                <w:sz w:val="24"/>
                <w:szCs w:val="24"/>
              </w:rPr>
            </w:pPr>
            <w:r w:rsidRPr="00D93A66">
              <w:rPr>
                <w:rFonts w:cstheme="minorHAnsi"/>
                <w:b/>
                <w:sz w:val="24"/>
                <w:szCs w:val="24"/>
              </w:rPr>
              <w:t>Email</w:t>
            </w:r>
          </w:p>
        </w:tc>
        <w:tc>
          <w:tcPr>
            <w:tcW w:w="4803" w:type="dxa"/>
            <w:gridSpan w:val="4"/>
          </w:tcPr>
          <w:p w:rsidR="00D93A66" w:rsidRPr="00D93A66" w:rsidRDefault="008B0205" w:rsidP="00D93A66">
            <w:pPr>
              <w:jc w:val="center"/>
              <w:rPr>
                <w:rFonts w:cstheme="minorHAnsi"/>
                <w:bCs/>
                <w:sz w:val="24"/>
                <w:szCs w:val="24"/>
              </w:rPr>
            </w:pPr>
            <w:r>
              <w:rPr>
                <w:rFonts w:cstheme="minorHAnsi"/>
                <w:bCs/>
                <w:sz w:val="24"/>
                <w:szCs w:val="24"/>
              </w:rPr>
              <w:t>phuongpn@rfd.gov.vn</w:t>
            </w:r>
          </w:p>
        </w:tc>
      </w:tr>
      <w:tr w:rsidR="007E7577" w:rsidRPr="00D93A66" w:rsidTr="00D11CA0">
        <w:tc>
          <w:tcPr>
            <w:tcW w:w="1555" w:type="dxa"/>
          </w:tcPr>
          <w:p w:rsidR="00E00EC9" w:rsidRPr="00D93A66" w:rsidRDefault="00E00EC9" w:rsidP="00D93A66">
            <w:pPr>
              <w:jc w:val="center"/>
              <w:rPr>
                <w:rFonts w:cstheme="minorHAnsi"/>
                <w:b/>
                <w:sz w:val="24"/>
                <w:szCs w:val="24"/>
              </w:rPr>
            </w:pPr>
            <w:r>
              <w:rPr>
                <w:rFonts w:cstheme="minorHAnsi"/>
                <w:b/>
                <w:sz w:val="24"/>
                <w:szCs w:val="24"/>
              </w:rPr>
              <w:t>WP Chair</w:t>
            </w:r>
          </w:p>
        </w:tc>
        <w:tc>
          <w:tcPr>
            <w:tcW w:w="3969" w:type="dxa"/>
            <w:gridSpan w:val="7"/>
          </w:tcPr>
          <w:p w:rsidR="008B0205" w:rsidRPr="008B0205" w:rsidRDefault="008B0205" w:rsidP="008B0205">
            <w:pPr>
              <w:widowControl/>
              <w:wordWrap/>
              <w:autoSpaceDE/>
              <w:autoSpaceDN/>
              <w:jc w:val="left"/>
              <w:rPr>
                <w:rFonts w:ascii="Times New Roman" w:eastAsia="BatangChe" w:hAnsi="Times New Roman" w:cs="Times New Roman"/>
                <w:b/>
                <w:bCs/>
                <w:kern w:val="0"/>
                <w:sz w:val="24"/>
                <w:szCs w:val="24"/>
                <w:lang w:eastAsia="en-US"/>
              </w:rPr>
            </w:pPr>
            <w:r w:rsidRPr="008B0205">
              <w:rPr>
                <w:rFonts w:ascii="Times New Roman" w:eastAsia="BatangChe" w:hAnsi="Times New Roman" w:cs="Times New Roman"/>
                <w:b/>
                <w:bCs/>
                <w:kern w:val="0"/>
                <w:sz w:val="24"/>
                <w:szCs w:val="24"/>
                <w:lang w:eastAsia="en-US"/>
              </w:rPr>
              <w:t>Ms. Fenhong Cheng</w:t>
            </w:r>
          </w:p>
          <w:p w:rsidR="00E00EC9" w:rsidRPr="00D93A66" w:rsidRDefault="008B0205" w:rsidP="008B0205">
            <w:pPr>
              <w:jc w:val="left"/>
              <w:rPr>
                <w:rFonts w:cstheme="minorHAnsi"/>
                <w:bCs/>
                <w:sz w:val="24"/>
                <w:szCs w:val="24"/>
              </w:rPr>
            </w:pPr>
            <w:r w:rsidRPr="008B0205">
              <w:rPr>
                <w:rFonts w:ascii="Times New Roman" w:eastAsia="BatangChe" w:hAnsi="Times New Roman" w:cs="Times New Roman"/>
                <w:b/>
                <w:bCs/>
                <w:kern w:val="0"/>
                <w:sz w:val="24"/>
                <w:szCs w:val="24"/>
                <w:lang w:eastAsia="en-US"/>
              </w:rPr>
              <w:t xml:space="preserve">Mr. Mrunmaya Pattanaik </w:t>
            </w:r>
            <w:r w:rsidRPr="008B0205">
              <w:rPr>
                <w:rFonts w:ascii="Times New Roman" w:eastAsia="BatangChe" w:hAnsi="Times New Roman" w:cs="Times New Roman"/>
                <w:b/>
                <w:bCs/>
                <w:kern w:val="0"/>
                <w:sz w:val="24"/>
                <w:szCs w:val="24"/>
                <w:lang w:eastAsia="en-US"/>
              </w:rPr>
              <w:br/>
            </w:r>
          </w:p>
        </w:tc>
        <w:tc>
          <w:tcPr>
            <w:tcW w:w="850" w:type="dxa"/>
            <w:gridSpan w:val="3"/>
          </w:tcPr>
          <w:p w:rsidR="00E00EC9" w:rsidRPr="00D93A66" w:rsidRDefault="00E00EC9" w:rsidP="00D93A66">
            <w:pPr>
              <w:jc w:val="center"/>
              <w:rPr>
                <w:rFonts w:cstheme="minorHAnsi"/>
                <w:b/>
                <w:sz w:val="24"/>
                <w:szCs w:val="24"/>
              </w:rPr>
            </w:pPr>
            <w:r>
              <w:rPr>
                <w:rFonts w:cstheme="minorHAnsi"/>
                <w:b/>
                <w:sz w:val="24"/>
                <w:szCs w:val="24"/>
              </w:rPr>
              <w:t>Email</w:t>
            </w:r>
          </w:p>
        </w:tc>
        <w:tc>
          <w:tcPr>
            <w:tcW w:w="4803" w:type="dxa"/>
            <w:gridSpan w:val="4"/>
          </w:tcPr>
          <w:p w:rsidR="00E00EC9" w:rsidRDefault="00DB196F" w:rsidP="00F26F3E">
            <w:pPr>
              <w:jc w:val="center"/>
              <w:rPr>
                <w:rFonts w:cstheme="minorHAnsi"/>
                <w:bCs/>
                <w:sz w:val="24"/>
                <w:szCs w:val="24"/>
              </w:rPr>
            </w:pPr>
            <w:hyperlink r:id="rId7" w:history="1">
              <w:r w:rsidR="00F26F3E" w:rsidRPr="008E31C3">
                <w:rPr>
                  <w:rStyle w:val="Hyperlink"/>
                  <w:rFonts w:cstheme="minorHAnsi"/>
                  <w:bCs/>
                  <w:sz w:val="24"/>
                  <w:szCs w:val="24"/>
                </w:rPr>
                <w:t>chengfenhong@chinasatcom.com</w:t>
              </w:r>
            </w:hyperlink>
            <w:r w:rsidR="00F26F3E" w:rsidRPr="00F26F3E">
              <w:rPr>
                <w:rFonts w:cstheme="minorHAnsi"/>
                <w:bCs/>
                <w:sz w:val="24"/>
                <w:szCs w:val="24"/>
                <w:highlight w:val="yellow"/>
              </w:rPr>
              <w:t xml:space="preserve"> </w:t>
            </w:r>
          </w:p>
          <w:p w:rsidR="00F26F3E" w:rsidRDefault="00DB196F" w:rsidP="00F26F3E">
            <w:pPr>
              <w:jc w:val="center"/>
              <w:rPr>
                <w:rFonts w:cstheme="minorHAnsi"/>
                <w:bCs/>
                <w:sz w:val="24"/>
                <w:szCs w:val="24"/>
              </w:rPr>
            </w:pPr>
            <w:hyperlink r:id="rId8" w:history="1">
              <w:r w:rsidR="00F26F3E" w:rsidRPr="008E31C3">
                <w:rPr>
                  <w:rStyle w:val="Hyperlink"/>
                  <w:rFonts w:cstheme="minorHAnsi"/>
                  <w:bCs/>
                  <w:sz w:val="24"/>
                  <w:szCs w:val="24"/>
                </w:rPr>
                <w:t>pattanaik.mr@gov.in</w:t>
              </w:r>
            </w:hyperlink>
          </w:p>
          <w:p w:rsidR="00F26F3E" w:rsidRPr="00D93A66" w:rsidRDefault="00F26F3E" w:rsidP="00F26F3E">
            <w:pPr>
              <w:jc w:val="center"/>
              <w:rPr>
                <w:rFonts w:cstheme="minorHAnsi"/>
                <w:bCs/>
                <w:sz w:val="24"/>
                <w:szCs w:val="24"/>
              </w:rPr>
            </w:pPr>
          </w:p>
        </w:tc>
      </w:tr>
      <w:tr w:rsidR="00057D04" w:rsidRPr="00D93A66" w:rsidTr="00D11CA0">
        <w:tc>
          <w:tcPr>
            <w:tcW w:w="1555" w:type="dxa"/>
          </w:tcPr>
          <w:p w:rsidR="00057D04" w:rsidRDefault="00057D04" w:rsidP="00057D04">
            <w:pPr>
              <w:jc w:val="left"/>
              <w:rPr>
                <w:rFonts w:cstheme="minorHAnsi"/>
                <w:b/>
                <w:sz w:val="24"/>
                <w:szCs w:val="24"/>
              </w:rPr>
            </w:pPr>
            <w:r w:rsidRPr="00D93A66">
              <w:rPr>
                <w:rFonts w:cstheme="minorHAnsi"/>
                <w:b/>
                <w:sz w:val="24"/>
                <w:szCs w:val="24"/>
              </w:rPr>
              <w:t>Report Date</w:t>
            </w:r>
          </w:p>
        </w:tc>
        <w:tc>
          <w:tcPr>
            <w:tcW w:w="9622" w:type="dxa"/>
            <w:gridSpan w:val="14"/>
          </w:tcPr>
          <w:p w:rsidR="00057D04" w:rsidRDefault="00713510" w:rsidP="00713510">
            <w:pPr>
              <w:jc w:val="left"/>
              <w:rPr>
                <w:rFonts w:cstheme="minorHAnsi"/>
                <w:b/>
                <w:sz w:val="24"/>
                <w:szCs w:val="24"/>
              </w:rPr>
            </w:pPr>
            <w:r>
              <w:rPr>
                <w:rFonts w:cstheme="minorHAnsi"/>
                <w:b/>
                <w:sz w:val="24"/>
                <w:szCs w:val="24"/>
              </w:rPr>
              <w:t>03</w:t>
            </w:r>
            <w:r w:rsidR="008B0205">
              <w:rPr>
                <w:rFonts w:cstheme="minorHAnsi"/>
                <w:b/>
                <w:sz w:val="24"/>
                <w:szCs w:val="24"/>
              </w:rPr>
              <w:t xml:space="preserve"> </w:t>
            </w:r>
            <w:r>
              <w:rPr>
                <w:rFonts w:cstheme="minorHAnsi"/>
                <w:b/>
                <w:sz w:val="24"/>
                <w:szCs w:val="24"/>
              </w:rPr>
              <w:t>April</w:t>
            </w:r>
            <w:r w:rsidR="008B0205">
              <w:rPr>
                <w:rFonts w:cstheme="minorHAnsi"/>
                <w:b/>
                <w:sz w:val="24"/>
                <w:szCs w:val="24"/>
              </w:rPr>
              <w:t xml:space="preserve"> 2023</w:t>
            </w:r>
          </w:p>
        </w:tc>
      </w:tr>
      <w:tr w:rsidR="00E00EC9" w:rsidRPr="00D93A66" w:rsidTr="00D11CA0">
        <w:tc>
          <w:tcPr>
            <w:tcW w:w="11177" w:type="dxa"/>
            <w:gridSpan w:val="15"/>
          </w:tcPr>
          <w:p w:rsidR="00E00EC9" w:rsidRDefault="00E00EC9" w:rsidP="00D93A66">
            <w:pPr>
              <w:jc w:val="center"/>
              <w:rPr>
                <w:rFonts w:cstheme="minorHAnsi"/>
                <w:b/>
                <w:sz w:val="24"/>
                <w:szCs w:val="24"/>
              </w:rPr>
            </w:pPr>
          </w:p>
        </w:tc>
      </w:tr>
      <w:tr w:rsidR="0077095D" w:rsidRPr="00D93A66" w:rsidTr="00D11CA0">
        <w:tc>
          <w:tcPr>
            <w:tcW w:w="11177" w:type="dxa"/>
            <w:gridSpan w:val="15"/>
          </w:tcPr>
          <w:p w:rsidR="0077095D" w:rsidRPr="007E7577" w:rsidRDefault="0077095D" w:rsidP="006C7438">
            <w:pPr>
              <w:pStyle w:val="ListParagraph"/>
              <w:numPr>
                <w:ilvl w:val="0"/>
                <w:numId w:val="4"/>
              </w:numPr>
              <w:jc w:val="left"/>
              <w:rPr>
                <w:rFonts w:cstheme="minorHAnsi"/>
                <w:b/>
                <w:sz w:val="28"/>
                <w:szCs w:val="28"/>
              </w:rPr>
            </w:pPr>
            <w:r w:rsidRPr="007E7577">
              <w:rPr>
                <w:rFonts w:cstheme="minorHAnsi"/>
                <w:b/>
                <w:sz w:val="28"/>
                <w:szCs w:val="28"/>
              </w:rPr>
              <w:t>APT</w:t>
            </w:r>
          </w:p>
        </w:tc>
      </w:tr>
      <w:tr w:rsidR="0077095D" w:rsidRPr="00D93A66" w:rsidTr="00D11CA0">
        <w:trPr>
          <w:trHeight w:val="596"/>
        </w:trPr>
        <w:tc>
          <w:tcPr>
            <w:tcW w:w="2917" w:type="dxa"/>
            <w:gridSpan w:val="4"/>
          </w:tcPr>
          <w:p w:rsidR="0077095D" w:rsidRPr="00D93A66" w:rsidRDefault="0077095D" w:rsidP="00D93A66">
            <w:pPr>
              <w:jc w:val="center"/>
              <w:rPr>
                <w:rFonts w:cstheme="minorHAnsi"/>
                <w:b/>
                <w:sz w:val="24"/>
                <w:szCs w:val="24"/>
              </w:rPr>
            </w:pPr>
            <w:r>
              <w:rPr>
                <w:rFonts w:cstheme="minorHAnsi"/>
                <w:b/>
                <w:sz w:val="24"/>
                <w:szCs w:val="24"/>
              </w:rPr>
              <w:t>APT Preliminary Views</w:t>
            </w:r>
          </w:p>
          <w:p w:rsidR="0077095D" w:rsidRPr="00D93A66" w:rsidRDefault="0077095D" w:rsidP="00B63CF7">
            <w:pPr>
              <w:jc w:val="center"/>
              <w:rPr>
                <w:rFonts w:cstheme="minorHAnsi"/>
                <w:b/>
                <w:sz w:val="24"/>
                <w:szCs w:val="24"/>
              </w:rPr>
            </w:pPr>
            <w:r>
              <w:rPr>
                <w:rFonts w:cstheme="minorHAnsi"/>
                <w:bCs/>
                <w:sz w:val="24"/>
                <w:szCs w:val="24"/>
              </w:rPr>
              <w:t>CPM23-2/xxxx</w:t>
            </w:r>
          </w:p>
        </w:tc>
        <w:tc>
          <w:tcPr>
            <w:tcW w:w="8260" w:type="dxa"/>
            <w:gridSpan w:val="11"/>
          </w:tcPr>
          <w:p w:rsidR="00B7472C" w:rsidRPr="00A44E05" w:rsidRDefault="00B7472C" w:rsidP="00B7472C">
            <w:pPr>
              <w:widowControl/>
              <w:wordWrap/>
              <w:autoSpaceDE/>
              <w:autoSpaceDN/>
              <w:spacing w:before="120" w:line="264" w:lineRule="auto"/>
              <w:rPr>
                <w:rFonts w:ascii="Times New Roman" w:eastAsia="BatangChe" w:hAnsi="Times New Roman" w:cs="Times New Roman"/>
                <w:bCs/>
                <w:kern w:val="0"/>
                <w:sz w:val="22"/>
                <w:lang w:eastAsia="en-US"/>
              </w:rPr>
            </w:pPr>
            <w:r w:rsidRPr="00A44E05">
              <w:rPr>
                <w:rFonts w:ascii="Times New Roman" w:eastAsia="BatangChe" w:hAnsi="Times New Roman" w:cs="Times New Roman"/>
                <w:bCs/>
                <w:kern w:val="0"/>
                <w:sz w:val="22"/>
                <w:lang w:eastAsia="en-US"/>
              </w:rPr>
              <w:t xml:space="preserve">APT members could support Method B provided that the remaining elements and part of that method as referred to draft CPM Report of agenda item 1.15 are finalized and agreed. This includes the following: </w:t>
            </w:r>
          </w:p>
          <w:p w:rsidR="00B7472C" w:rsidRPr="00A44E05" w:rsidRDefault="00B7472C" w:rsidP="00B7472C">
            <w:pPr>
              <w:widowControl/>
              <w:numPr>
                <w:ilvl w:val="0"/>
                <w:numId w:val="6"/>
              </w:numPr>
              <w:wordWrap/>
              <w:autoSpaceDE/>
              <w:autoSpaceDN/>
              <w:spacing w:before="120" w:line="264" w:lineRule="auto"/>
              <w:jc w:val="left"/>
              <w:rPr>
                <w:rFonts w:ascii="Times New Roman" w:eastAsia="BatangChe" w:hAnsi="Times New Roman" w:cs="Times New Roman"/>
                <w:bCs/>
                <w:kern w:val="0"/>
                <w:sz w:val="22"/>
                <w:lang w:eastAsia="en-US"/>
              </w:rPr>
            </w:pPr>
            <w:r w:rsidRPr="00A44E05">
              <w:rPr>
                <w:rFonts w:ascii="Times New Roman" w:eastAsia="BatangChe" w:hAnsi="Times New Roman" w:cs="Times New Roman"/>
                <w:bCs/>
                <w:kern w:val="0"/>
                <w:sz w:val="22"/>
                <w:lang w:eastAsia="en-US"/>
              </w:rPr>
              <w:t>Interference management mechanism to deal with interference occurs from operation of ESIM to other administrations;</w:t>
            </w:r>
          </w:p>
          <w:p w:rsidR="00B7472C" w:rsidRPr="00A44E05" w:rsidRDefault="00B7472C" w:rsidP="00B7472C">
            <w:pPr>
              <w:widowControl/>
              <w:numPr>
                <w:ilvl w:val="0"/>
                <w:numId w:val="6"/>
              </w:numPr>
              <w:wordWrap/>
              <w:autoSpaceDE/>
              <w:autoSpaceDN/>
              <w:spacing w:before="120" w:line="264" w:lineRule="auto"/>
              <w:jc w:val="left"/>
              <w:rPr>
                <w:rFonts w:ascii="Times New Roman" w:eastAsia="BatangChe" w:hAnsi="Times New Roman" w:cs="Times New Roman"/>
                <w:bCs/>
                <w:kern w:val="0"/>
                <w:sz w:val="22"/>
                <w:lang w:eastAsia="en-US"/>
              </w:rPr>
            </w:pPr>
            <w:r w:rsidRPr="00A44E05">
              <w:rPr>
                <w:rFonts w:ascii="Times New Roman" w:eastAsia="BatangChe" w:hAnsi="Times New Roman" w:cs="Times New Roman"/>
                <w:bCs/>
                <w:kern w:val="0"/>
                <w:sz w:val="22"/>
                <w:lang w:eastAsia="en-US"/>
              </w:rPr>
              <w:t>Switching facility allowing transmission over these territories of countries which agreed to be included in the service area and/or authorized operation of the service on the territory under jurisdiction and no transmission over these countries if they are not in the service areas or they have not given their authorization for operation of that ESIM;</w:t>
            </w:r>
          </w:p>
          <w:p w:rsidR="00B7472C" w:rsidRPr="00A44E05" w:rsidRDefault="00B7472C" w:rsidP="00B7472C">
            <w:pPr>
              <w:widowControl/>
              <w:numPr>
                <w:ilvl w:val="0"/>
                <w:numId w:val="6"/>
              </w:numPr>
              <w:wordWrap/>
              <w:autoSpaceDE/>
              <w:autoSpaceDN/>
              <w:spacing w:before="120" w:line="264" w:lineRule="auto"/>
              <w:jc w:val="left"/>
              <w:rPr>
                <w:rFonts w:ascii="Times New Roman" w:eastAsia="BatangChe" w:hAnsi="Times New Roman" w:cs="Times New Roman"/>
                <w:bCs/>
                <w:kern w:val="0"/>
                <w:sz w:val="22"/>
                <w:lang w:eastAsia="en-US"/>
              </w:rPr>
            </w:pPr>
            <w:r w:rsidRPr="00A44E05">
              <w:rPr>
                <w:rFonts w:ascii="Times New Roman" w:eastAsia="BatangChe" w:hAnsi="Times New Roman" w:cs="Times New Roman"/>
                <w:bCs/>
                <w:kern w:val="0"/>
                <w:sz w:val="22"/>
                <w:lang w:eastAsia="en-US"/>
              </w:rPr>
              <w:t>Methodology to enable the Radiocommunication Bureau to examine the conformity with PFD limit as contained in Annexes of draft resolution;</w:t>
            </w:r>
          </w:p>
          <w:p w:rsidR="00B7472C" w:rsidRPr="00A44E05" w:rsidRDefault="00B7472C" w:rsidP="00B7472C">
            <w:pPr>
              <w:widowControl/>
              <w:numPr>
                <w:ilvl w:val="0"/>
                <w:numId w:val="6"/>
              </w:numPr>
              <w:wordWrap/>
              <w:autoSpaceDE/>
              <w:autoSpaceDN/>
              <w:spacing w:before="120" w:line="264" w:lineRule="auto"/>
              <w:jc w:val="left"/>
              <w:rPr>
                <w:rFonts w:ascii="Times New Roman" w:eastAsia="BatangChe" w:hAnsi="Times New Roman" w:cs="Times New Roman"/>
                <w:bCs/>
                <w:kern w:val="0"/>
                <w:sz w:val="22"/>
                <w:lang w:eastAsia="en-US"/>
              </w:rPr>
            </w:pPr>
            <w:r w:rsidRPr="00A44E05">
              <w:rPr>
                <w:rFonts w:ascii="Times New Roman" w:eastAsia="BatangChe" w:hAnsi="Times New Roman" w:cs="Times New Roman"/>
                <w:bCs/>
                <w:kern w:val="0"/>
                <w:sz w:val="22"/>
                <w:lang w:eastAsia="en-US"/>
              </w:rPr>
              <w:t>Other elements, if identified by CPM23-2 to be discussed at the next meeting.</w:t>
            </w:r>
          </w:p>
          <w:p w:rsidR="00B7472C" w:rsidRPr="00A44E05" w:rsidRDefault="00B7472C" w:rsidP="00B7472C">
            <w:pPr>
              <w:widowControl/>
              <w:wordWrap/>
              <w:autoSpaceDE/>
              <w:autoSpaceDN/>
              <w:spacing w:before="120" w:line="264" w:lineRule="auto"/>
              <w:rPr>
                <w:rFonts w:ascii="Times New Roman" w:eastAsia="BatangChe" w:hAnsi="Times New Roman" w:cs="Times New Roman"/>
                <w:color w:val="000000"/>
                <w:kern w:val="0"/>
                <w:sz w:val="22"/>
              </w:rPr>
            </w:pPr>
            <w:r w:rsidRPr="00A44E05">
              <w:rPr>
                <w:rFonts w:ascii="Times New Roman" w:eastAsia="MS Mincho" w:hAnsi="Times New Roman" w:cs="Times New Roman"/>
                <w:color w:val="000000"/>
                <w:kern w:val="0"/>
                <w:sz w:val="22"/>
                <w:lang w:eastAsia="ja-JP"/>
              </w:rPr>
              <w:t xml:space="preserve">APT Members </w:t>
            </w:r>
            <w:r w:rsidRPr="00A44E05">
              <w:rPr>
                <w:rFonts w:ascii="Times New Roman" w:eastAsia="BatangChe" w:hAnsi="Times New Roman" w:cs="Times New Roman" w:hint="eastAsia"/>
                <w:color w:val="000000"/>
                <w:kern w:val="0"/>
                <w:sz w:val="22"/>
              </w:rPr>
              <w:t xml:space="preserve">also </w:t>
            </w:r>
            <w:r w:rsidRPr="00A44E05">
              <w:rPr>
                <w:rFonts w:ascii="Times New Roman" w:eastAsia="BatangChe" w:hAnsi="Times New Roman" w:cs="Times New Roman"/>
                <w:color w:val="000000"/>
                <w:kern w:val="0"/>
                <w:sz w:val="22"/>
              </w:rPr>
              <w:t>have</w:t>
            </w:r>
            <w:r w:rsidRPr="00A44E05">
              <w:rPr>
                <w:rFonts w:ascii="Times New Roman" w:eastAsia="BatangChe" w:hAnsi="Times New Roman" w:cs="Times New Roman" w:hint="eastAsia"/>
                <w:color w:val="000000"/>
                <w:kern w:val="0"/>
                <w:sz w:val="22"/>
              </w:rPr>
              <w:t xml:space="preserve"> preliminary view</w:t>
            </w:r>
            <w:r w:rsidRPr="00A44E05">
              <w:rPr>
                <w:rFonts w:ascii="Times New Roman" w:eastAsia="BatangChe" w:hAnsi="Times New Roman" w:cs="Times New Roman"/>
                <w:color w:val="000000"/>
                <w:kern w:val="0"/>
                <w:sz w:val="22"/>
              </w:rPr>
              <w:t>s</w:t>
            </w:r>
            <w:r w:rsidRPr="00A44E05">
              <w:rPr>
                <w:rFonts w:ascii="Times New Roman" w:eastAsia="BatangChe" w:hAnsi="Times New Roman" w:cs="Times New Roman" w:hint="eastAsia"/>
                <w:color w:val="000000"/>
                <w:kern w:val="0"/>
                <w:sz w:val="22"/>
              </w:rPr>
              <w:t xml:space="preserve"> as follows</w:t>
            </w:r>
            <w:r w:rsidRPr="00A44E05">
              <w:rPr>
                <w:rFonts w:ascii="Times New Roman" w:eastAsia="BatangChe" w:hAnsi="Times New Roman" w:cs="Times New Roman"/>
                <w:color w:val="000000"/>
                <w:kern w:val="0"/>
                <w:sz w:val="22"/>
              </w:rPr>
              <w:t>:</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en-US"/>
              </w:rPr>
              <w:t>The use of the frequency band 12.75-13.25 GHz (Earth-to-space) by earth stations on aircraft and vessels shall not limit the access of other administrations to their national resources in Appendix </w:t>
            </w:r>
            <w:r w:rsidRPr="00A44E05">
              <w:rPr>
                <w:rFonts w:ascii="Times New Roman" w:eastAsia="BatangChe" w:hAnsi="Times New Roman" w:cs="Times New Roman"/>
                <w:b/>
                <w:bCs/>
                <w:color w:val="000000"/>
                <w:kern w:val="0"/>
                <w:sz w:val="22"/>
                <w:lang w:eastAsia="en-US"/>
              </w:rPr>
              <w:t>30B</w:t>
            </w:r>
            <w:r w:rsidRPr="00A44E05">
              <w:rPr>
                <w:rFonts w:ascii="Times New Roman" w:eastAsia="BatangChe" w:hAnsi="Times New Roman" w:cs="Times New Roman"/>
                <w:color w:val="000000"/>
                <w:kern w:val="0"/>
                <w:sz w:val="22"/>
                <w:lang w:eastAsia="en-US"/>
              </w:rPr>
              <w:t xml:space="preserve"> as well as implementation of Resolution </w:t>
            </w:r>
            <w:r w:rsidRPr="00A44E05">
              <w:rPr>
                <w:rFonts w:ascii="Times New Roman" w:eastAsia="BatangChe" w:hAnsi="Times New Roman" w:cs="Times New Roman"/>
                <w:b/>
                <w:color w:val="000000"/>
                <w:kern w:val="0"/>
                <w:sz w:val="22"/>
                <w:lang w:eastAsia="en-US"/>
              </w:rPr>
              <w:t>170 (WRC</w:t>
            </w:r>
            <w:r w:rsidRPr="00A44E05">
              <w:rPr>
                <w:rFonts w:ascii="Times New Roman" w:eastAsia="BatangChe" w:hAnsi="Times New Roman" w:cs="Times New Roman"/>
                <w:b/>
                <w:color w:val="000000"/>
                <w:kern w:val="0"/>
                <w:sz w:val="22"/>
                <w:lang w:eastAsia="en-US"/>
              </w:rPr>
              <w:noBreakHyphen/>
              <w:t>19)</w:t>
            </w:r>
            <w:r w:rsidRPr="00A44E05">
              <w:rPr>
                <w:rFonts w:ascii="Times New Roman" w:eastAsia="BatangChe" w:hAnsi="Times New Roman" w:cs="Times New Roman"/>
                <w:bCs/>
                <w:color w:val="000000"/>
                <w:kern w:val="0"/>
                <w:sz w:val="22"/>
                <w:lang w:eastAsia="en-US"/>
              </w:rPr>
              <w:t>.</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en-US"/>
              </w:rPr>
              <w:t>The use of the frequency band 12.75-13.25 GHz (Earth-to-space) by earth stations on aircraft and vessels shall not cause unacceptable interference to nor claim protection  from the operation of terrestral services and their future development.</w:t>
            </w:r>
            <w:r w:rsidRPr="00A44E05">
              <w:rPr>
                <w:rFonts w:ascii="Times New Roman" w:eastAsia="BatangChe" w:hAnsi="Times New Roman" w:cs="Times New Roman" w:hint="eastAsia"/>
                <w:kern w:val="0"/>
                <w:sz w:val="22"/>
              </w:rPr>
              <w:t xml:space="preserve"> W</w:t>
            </w:r>
            <w:r w:rsidRPr="00A44E05">
              <w:rPr>
                <w:rFonts w:ascii="Times New Roman" w:eastAsia="BatangChe" w:hAnsi="Times New Roman" w:cs="Times New Roman"/>
                <w:kern w:val="0"/>
                <w:sz w:val="22"/>
              </w:rPr>
              <w:t xml:space="preserve">ith respect to the sharing and compatibility studies between earth stations on </w:t>
            </w:r>
            <w:r w:rsidRPr="00A44E05">
              <w:rPr>
                <w:rFonts w:ascii="Times New Roman" w:eastAsia="BatangChe" w:hAnsi="Times New Roman" w:cs="Times New Roman"/>
                <w:color w:val="000000"/>
                <w:kern w:val="0"/>
                <w:sz w:val="22"/>
              </w:rPr>
              <w:t xml:space="preserve">aircraft and vessels and terrestrial services, the protection of terrestrial services shall be ensured under all circumstances and conditions in the various sharing scenario.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rPr>
              <w:t xml:space="preserve">The implementation of ESIM shall ensure the protection of and shall not adversely affect the existing services and their future development, taking in to account allotment in the Plan, assignment in Appendix 30B List and those submitted under Articles 6 and 7 of Appendix 30B as well as under Resolution 170 (WRC-19).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kern w:val="0"/>
                <w:sz w:val="22"/>
                <w:lang w:eastAsia="en-US"/>
              </w:rPr>
              <w:t>Supports the development of a methodology regarding examination by the Bureau of compliance with PFD limits by A-ESIM, or of adequate transitional measures should WRC</w:t>
            </w:r>
            <w:r w:rsidRPr="00A44E05">
              <w:rPr>
                <w:rFonts w:ascii="Cambria Math" w:eastAsia="BatangChe" w:hAnsi="Cambria Math" w:cs="Cambria Math"/>
                <w:kern w:val="0"/>
                <w:sz w:val="22"/>
                <w:lang w:eastAsia="en-US"/>
              </w:rPr>
              <w:t>‐</w:t>
            </w:r>
            <w:r w:rsidRPr="00A44E05">
              <w:rPr>
                <w:rFonts w:ascii="Times New Roman" w:eastAsia="BatangChe" w:hAnsi="Times New Roman" w:cs="Times New Roman"/>
                <w:kern w:val="0"/>
                <w:sz w:val="22"/>
                <w:lang w:eastAsia="en-US"/>
              </w:rPr>
              <w:t>23 not finalize the methodology.</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lang w:val="en-NZ" w:eastAsia="en-US"/>
              </w:rPr>
            </w:pPr>
            <w:r w:rsidRPr="00A44E05">
              <w:rPr>
                <w:rFonts w:ascii="Times New Roman" w:eastAsia="BatangChe" w:hAnsi="Times New Roman" w:cs="Times New Roman"/>
                <w:color w:val="000000"/>
                <w:kern w:val="0"/>
                <w:sz w:val="22"/>
                <w:lang w:eastAsia="en-US"/>
              </w:rPr>
              <w:lastRenderedPageBreak/>
              <w:t xml:space="preserve">The use of earth stations on board aircraft and vessels shall not cause unacceptable interference (more than what is stipulated in relevant annexes to </w:t>
            </w:r>
            <w:r w:rsidRPr="00A44E05">
              <w:rPr>
                <w:rFonts w:ascii="Times New Roman" w:eastAsia="BatangChe" w:hAnsi="Times New Roman" w:cs="Times New Roman"/>
                <w:b/>
                <w:color w:val="000000"/>
                <w:kern w:val="0"/>
                <w:sz w:val="22"/>
                <w:lang w:eastAsia="en-US"/>
              </w:rPr>
              <w:t>AP30B</w:t>
            </w:r>
            <w:r w:rsidRPr="00A44E05">
              <w:rPr>
                <w:rFonts w:ascii="Times New Roman" w:eastAsia="BatangChe" w:hAnsi="Times New Roman" w:cs="Times New Roman"/>
                <w:color w:val="000000"/>
                <w:kern w:val="0"/>
                <w:sz w:val="22"/>
                <w:lang w:eastAsia="en-US"/>
              </w:rPr>
              <w:t xml:space="preserve"> of the Radio Regulations) to allotments, assignments converted from allotments within the limits of initial characteristics as contained in Plan or modified characteristics, for providing services to national territory as well as those from application of Article 6 and 7 of </w:t>
            </w:r>
            <w:r w:rsidRPr="00A44E05">
              <w:rPr>
                <w:rFonts w:ascii="Times New Roman" w:eastAsia="BatangChe" w:hAnsi="Times New Roman" w:cs="Times New Roman"/>
                <w:b/>
                <w:color w:val="000000"/>
                <w:kern w:val="0"/>
                <w:sz w:val="22"/>
                <w:lang w:eastAsia="en-US"/>
              </w:rPr>
              <w:t>AP30B</w:t>
            </w:r>
            <w:r w:rsidRPr="00A44E05">
              <w:rPr>
                <w:rFonts w:ascii="Times New Roman" w:eastAsia="BatangChe" w:hAnsi="Times New Roman" w:cs="Times New Roman"/>
                <w:color w:val="000000"/>
                <w:kern w:val="0"/>
                <w:sz w:val="22"/>
                <w:lang w:eastAsia="en-US"/>
              </w:rPr>
              <w:t xml:space="preserve"> and those submitted under Resolution </w:t>
            </w:r>
            <w:r w:rsidRPr="00A44E05">
              <w:rPr>
                <w:rFonts w:ascii="Times New Roman" w:eastAsia="BatangChe" w:hAnsi="Times New Roman" w:cs="Times New Roman"/>
                <w:b/>
                <w:color w:val="000000"/>
                <w:kern w:val="0"/>
                <w:sz w:val="22"/>
                <w:lang w:eastAsia="en-US"/>
              </w:rPr>
              <w:t>170 (WRC-19)</w:t>
            </w:r>
            <w:r w:rsidRPr="00A44E05">
              <w:rPr>
                <w:rFonts w:ascii="Times New Roman" w:eastAsia="BatangChe" w:hAnsi="Times New Roman" w:cs="Times New Roman"/>
                <w:color w:val="000000"/>
                <w:kern w:val="0"/>
                <w:sz w:val="22"/>
                <w:lang w:eastAsia="en-US"/>
              </w:rPr>
              <w:t xml:space="preserve"> as well as all existing and planned services in that frequency band and adjacent bands operating in accordance with the Radio Regulations.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lang w:val="en-NZ" w:eastAsia="en-US"/>
              </w:rPr>
            </w:pPr>
            <w:r w:rsidRPr="00A44E05">
              <w:rPr>
                <w:rFonts w:ascii="Times New Roman" w:eastAsia="BatangChe" w:hAnsi="Times New Roman" w:cs="Times New Roman"/>
                <w:color w:val="000000"/>
                <w:kern w:val="0"/>
                <w:sz w:val="22"/>
                <w:lang w:eastAsia="en-US"/>
              </w:rPr>
              <w:t xml:space="preserve">Earth stations on board aircraft and vessels shall not claim protection from the allotment plan, assignments in the List of </w:t>
            </w:r>
            <w:r w:rsidRPr="00A44E05">
              <w:rPr>
                <w:rFonts w:ascii="Times New Roman" w:eastAsia="BatangChe" w:hAnsi="Times New Roman" w:cs="Times New Roman"/>
                <w:b/>
                <w:color w:val="000000"/>
                <w:kern w:val="0"/>
                <w:sz w:val="22"/>
                <w:lang w:eastAsia="en-US"/>
              </w:rPr>
              <w:t>AP30B</w:t>
            </w:r>
            <w:r w:rsidRPr="00A44E05">
              <w:rPr>
                <w:rFonts w:ascii="Times New Roman" w:eastAsia="BatangChe" w:hAnsi="Times New Roman" w:cs="Times New Roman"/>
                <w:color w:val="000000"/>
                <w:kern w:val="0"/>
                <w:sz w:val="22"/>
                <w:lang w:eastAsia="en-US"/>
              </w:rPr>
              <w:t xml:space="preserve"> for national coverage, and other services including terrestrial services to which the frequency band is allocated and operating in accordance with the provisions of  Radio Regulations.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en-US"/>
              </w:rPr>
              <w:t>With respect to the sharing and compatibility studies between earth stations on board aircraft and vessels communicating with geostationary space stations in the fixed-satellite service and the fixed service in the frequency band 12.75-13.25 GHz, both long-term and short-term interference scenarios under relevant ITU-R Recommendations should be considered and carried out in these studies.</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en-US"/>
              </w:rPr>
              <w:t>For the operation of A-ESIM and M-ESIM, the technical, operational and regulatory provisions including responsibilities of administrations and entities responsible for the operation, authorization and the interference management system of these earth stations need to be clearly defined.</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kern w:val="0"/>
                <w:sz w:val="22"/>
                <w:lang w:eastAsia="en-US"/>
              </w:rPr>
              <w:t xml:space="preserve">The only administration that could notify ESIM is the same administration as the one notifying the GSO network to which the ESIM communicate. Thus, notification of any frequency assignment for ESIMs shall only be made by one single administration, which will be responsible for resolving potential interferences, operational issues and monitoring of ESIM to comply with Radio Regulations as well as other tasks mentioned in the associated Resolution. </w:t>
            </w:r>
            <w:r w:rsidRPr="00A44E05">
              <w:rPr>
                <w:rFonts w:ascii="Times New Roman" w:eastAsia="BatangChe" w:hAnsi="Times New Roman" w:cs="Times New Roman"/>
                <w:color w:val="000000"/>
                <w:kern w:val="0"/>
                <w:sz w:val="22"/>
                <w:lang w:eastAsia="zh-CN"/>
              </w:rPr>
              <w:t>Therefore, the notifying administration of the satellite system is responsible for the compliance of ESIM with all relevant regulatory and administrative provisions including cases of interferences.</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zh-CN"/>
              </w:rPr>
              <w:t>An administration the territory of which is situated inside the service area of a satellite and has provided explicit authorization to receive the service/ to be served by any type of ESIM, unless that administration has formally and explicitly agreed to collaborate within its technical ability and possibility to provide assistance, has no obligation nor any mandate, whatsoever, to be involved directly or indirectly in detection, identification, reporting, resolution of any interference caused by the operation of the ESIM the operation of which was authorized.</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en-US"/>
              </w:rPr>
              <w:t xml:space="preserve">The notifying administration of the GSO satellite network </w:t>
            </w:r>
            <w:r w:rsidRPr="00A44E05">
              <w:rPr>
                <w:rFonts w:ascii="Times New Roman" w:eastAsia="BatangChe" w:hAnsi="Times New Roman" w:cs="Times New Roman"/>
                <w:color w:val="000000"/>
                <w:kern w:val="0"/>
                <w:sz w:val="22"/>
                <w:lang w:eastAsia="zh-CN"/>
              </w:rPr>
              <w:t xml:space="preserve">is also responsible for ensuring </w:t>
            </w:r>
            <w:r w:rsidRPr="00A44E05">
              <w:rPr>
                <w:rFonts w:ascii="Times New Roman" w:eastAsia="BatangChe" w:hAnsi="Times New Roman" w:cs="Times New Roman"/>
                <w:color w:val="000000"/>
                <w:kern w:val="0"/>
                <w:sz w:val="22"/>
                <w:lang w:eastAsia="en-US"/>
              </w:rPr>
              <w:t>that ESIMs operate only in the territories under the jurisdiction of any administration/country which:</w:t>
            </w:r>
          </w:p>
          <w:p w:rsidR="00B7472C" w:rsidRPr="00A44E05" w:rsidRDefault="00B7472C" w:rsidP="00B7472C">
            <w:pPr>
              <w:widowControl/>
              <w:numPr>
                <w:ilvl w:val="0"/>
                <w:numId w:val="7"/>
              </w:numPr>
              <w:wordWrap/>
              <w:autoSpaceDE/>
              <w:autoSpaceDN/>
              <w:jc w:val="left"/>
              <w:rPr>
                <w:rFonts w:ascii="Times New Roman" w:eastAsia="BatangChe" w:hAnsi="Times New Roman" w:cs="Times New Roman"/>
                <w:color w:val="000000"/>
                <w:kern w:val="0"/>
                <w:sz w:val="22"/>
                <w:lang w:eastAsia="en-US"/>
              </w:rPr>
            </w:pPr>
            <w:r w:rsidRPr="00A44E05">
              <w:rPr>
                <w:rFonts w:ascii="Times New Roman" w:eastAsia="BatangChe" w:hAnsi="Times New Roman" w:cs="Times New Roman"/>
                <w:color w:val="000000"/>
                <w:kern w:val="0"/>
                <w:sz w:val="22"/>
                <w:lang w:eastAsia="en-US"/>
              </w:rPr>
              <w:t xml:space="preserve">located within the service area of the space station; </w:t>
            </w:r>
          </w:p>
          <w:p w:rsidR="00B7472C" w:rsidRPr="00A44E05" w:rsidRDefault="00B7472C" w:rsidP="00B7472C">
            <w:pPr>
              <w:widowControl/>
              <w:numPr>
                <w:ilvl w:val="0"/>
                <w:numId w:val="7"/>
              </w:numPr>
              <w:wordWrap/>
              <w:autoSpaceDE/>
              <w:autoSpaceDN/>
              <w:jc w:val="left"/>
              <w:rPr>
                <w:rFonts w:ascii="Times New Roman" w:eastAsia="BatangChe" w:hAnsi="Times New Roman" w:cs="Times New Roman"/>
                <w:color w:val="000000"/>
                <w:kern w:val="0"/>
                <w:sz w:val="22"/>
                <w:lang w:eastAsia="en-US"/>
              </w:rPr>
            </w:pPr>
            <w:r w:rsidRPr="00A44E05">
              <w:rPr>
                <w:rFonts w:ascii="Times New Roman" w:eastAsia="BatangChe" w:hAnsi="Times New Roman" w:cs="Times New Roman"/>
                <w:color w:val="000000"/>
                <w:kern w:val="0"/>
                <w:sz w:val="22"/>
                <w:lang w:eastAsia="en-US"/>
              </w:rPr>
              <w:t>explicit agreement to that effect was obtained and;</w:t>
            </w:r>
          </w:p>
          <w:p w:rsidR="00B7472C" w:rsidRPr="00A44E05" w:rsidRDefault="00B7472C" w:rsidP="00B7472C">
            <w:pPr>
              <w:widowControl/>
              <w:numPr>
                <w:ilvl w:val="0"/>
                <w:numId w:val="7"/>
              </w:numPr>
              <w:wordWrap/>
              <w:autoSpaceDE/>
              <w:autoSpaceDN/>
              <w:jc w:val="left"/>
              <w:rPr>
                <w:rFonts w:ascii="Times New Roman" w:eastAsia="BatangChe" w:hAnsi="Times New Roman" w:cs="Times New Roman"/>
                <w:color w:val="000000"/>
                <w:kern w:val="0"/>
                <w:sz w:val="22"/>
                <w:lang w:eastAsia="en-US"/>
              </w:rPr>
            </w:pPr>
            <w:r w:rsidRPr="00A44E05">
              <w:rPr>
                <w:rFonts w:ascii="Times New Roman" w:eastAsia="BatangChe" w:hAnsi="Times New Roman" w:cs="Times New Roman"/>
                <w:color w:val="000000"/>
                <w:kern w:val="0"/>
                <w:sz w:val="22"/>
                <w:lang w:eastAsia="en-US"/>
              </w:rPr>
              <w:t>the required authorization for operation over its territory was sought and explicitly granted from which explicit authorization has been obtained.</w:t>
            </w:r>
          </w:p>
          <w:p w:rsidR="00B7472C" w:rsidRPr="00A44E05" w:rsidDel="00612EFC"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rPr>
            </w:pPr>
            <w:r w:rsidRPr="00A44E05">
              <w:rPr>
                <w:rFonts w:ascii="Times New Roman" w:eastAsia="BatangChe" w:hAnsi="Times New Roman" w:cs="Times New Roman"/>
                <w:color w:val="000000"/>
                <w:kern w:val="0"/>
                <w:sz w:val="22"/>
                <w:lang w:eastAsia="en-US"/>
              </w:rPr>
              <w:lastRenderedPageBreak/>
              <w:t>A-ESIM and M-ESIM</w:t>
            </w:r>
            <w:r w:rsidRPr="00A44E05">
              <w:rPr>
                <w:rFonts w:ascii="Times New Roman" w:eastAsia="BatangChe" w:hAnsi="Times New Roman" w:cs="Times New Roman"/>
                <w:color w:val="000000"/>
                <w:kern w:val="0"/>
                <w:sz w:val="22"/>
                <w:lang w:eastAsia="zh-CN"/>
              </w:rPr>
              <w:t>s in the 12.75</w:t>
            </w:r>
            <w:r w:rsidRPr="00A44E05">
              <w:rPr>
                <w:rFonts w:ascii="Times New Roman" w:eastAsia="BatangChe" w:hAnsi="Times New Roman" w:cs="Times New Roman"/>
                <w:color w:val="000000"/>
                <w:kern w:val="0"/>
                <w:sz w:val="22"/>
                <w:lang w:eastAsia="zh-CN"/>
              </w:rPr>
              <w:noBreakHyphen/>
              <w:t xml:space="preserve">13.25 GHz band need to have the capability to restrict operations in territories of those administrations the agreement of which under §6.6 of Appendix 30B has been obtained and authorization for A-ESIM and M-ESIM operations has been granted.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lang w:eastAsia="zh-CN"/>
              </w:rPr>
            </w:pPr>
            <w:r w:rsidRPr="00A44E05">
              <w:rPr>
                <w:rFonts w:ascii="Times New Roman" w:eastAsia="BatangChe" w:hAnsi="Times New Roman" w:cs="Times New Roman"/>
                <w:color w:val="000000"/>
                <w:kern w:val="0"/>
                <w:sz w:val="22"/>
                <w:lang w:eastAsia="en-US"/>
              </w:rPr>
              <w:t xml:space="preserve">Regarding the use of PFD mask in A-ESIM operation, it is an </w:t>
            </w:r>
            <w:r w:rsidRPr="00A44E05">
              <w:rPr>
                <w:rFonts w:ascii="Times New Roman" w:eastAsia="BatangChe" w:hAnsi="Times New Roman" w:cs="Times New Roman"/>
                <w:color w:val="000000"/>
                <w:kern w:val="0"/>
                <w:sz w:val="22"/>
                <w:lang w:eastAsia="zh-CN"/>
              </w:rPr>
              <w:t xml:space="preserve">acceptable way to provide a PFD mask as guidance to administration intending to authorize the operation of the A-ESIMs to determine whether or not the interference which may be caused to its terrestrial stations/assignments are acceptable.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lang w:eastAsia="zh-CN"/>
              </w:rPr>
            </w:pPr>
            <w:r w:rsidRPr="00A44E05">
              <w:rPr>
                <w:rFonts w:ascii="Times New Roman" w:eastAsia="BatangChe" w:hAnsi="Times New Roman" w:cs="Times New Roman"/>
                <w:kern w:val="0"/>
                <w:sz w:val="22"/>
                <w:lang w:eastAsia="en-US"/>
              </w:rPr>
              <w:t>The notifying administration of A ESIM and M ESIM when submitting Appendix 4 data elements to the Bureau shall also send a firm commitment undertaking that in case of any interference to Allotment in the Plan, assignments in the List and MIFR shall immediately cease emission or reduce it to the minimum level acceptable to the interfered assignments of administration (s).</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lang w:eastAsia="zh-CN"/>
              </w:rPr>
            </w:pPr>
            <w:r w:rsidRPr="00A44E05">
              <w:rPr>
                <w:rFonts w:ascii="Times New Roman" w:eastAsia="BatangChe" w:hAnsi="Times New Roman" w:cs="Times New Roman"/>
                <w:color w:val="000000"/>
                <w:kern w:val="0"/>
                <w:sz w:val="22"/>
                <w:lang w:eastAsia="zh-CN"/>
              </w:rPr>
              <w:t xml:space="preserve">The compliance with the relevant technical conditions (such as the PFD mask of A-ESIM and separation distance of M-ESIM) does not release the notifying administration of the ESIM with respect to discharging its responsibility that such earth station shall not cause unacceptable interference to nor claim protection from terrestrial stations/ assignments.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color w:val="000000"/>
                <w:kern w:val="0"/>
                <w:sz w:val="22"/>
                <w:lang w:eastAsia="zh-CN"/>
              </w:rPr>
            </w:pPr>
            <w:r w:rsidRPr="00A44E05">
              <w:rPr>
                <w:rFonts w:ascii="Times New Roman" w:eastAsia="BatangChe" w:hAnsi="Times New Roman" w:cs="Times New Roman"/>
                <w:color w:val="000000"/>
                <w:kern w:val="0"/>
                <w:sz w:val="22"/>
                <w:lang w:eastAsia="zh-CN"/>
              </w:rPr>
              <w:t>A</w:t>
            </w:r>
            <w:r w:rsidRPr="00A44E05">
              <w:rPr>
                <w:rFonts w:ascii="Times New Roman" w:eastAsia="BatangChe" w:hAnsi="Times New Roman" w:cs="Times New Roman"/>
                <w:color w:val="000000"/>
                <w:kern w:val="0"/>
                <w:sz w:val="22"/>
                <w:lang w:eastAsia="en-US"/>
              </w:rPr>
              <w:t>n administration authorizing the operation of A-ESIM and M-ESIM in their territories (air space and territorial waters) shall be within the service area of the subject satellite network and authorize the operation of the associated gateway earth station as needed.</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kern w:val="0"/>
                <w:sz w:val="22"/>
                <w:lang w:eastAsia="en-US"/>
              </w:rPr>
            </w:pPr>
            <w:r w:rsidRPr="00A44E05">
              <w:rPr>
                <w:rFonts w:ascii="Times New Roman" w:eastAsia="BatangChe" w:hAnsi="Times New Roman" w:cs="Times New Roman"/>
                <w:kern w:val="0"/>
                <w:sz w:val="22"/>
                <w:lang w:eastAsia="en-US"/>
              </w:rPr>
              <w:t>Any transmissions from M-ESIM within the minimum distance, as specified in the Resolution for this agenda item, in order to protect terrestrial services shall be subject to prior agreement of the concerned administration.</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kern w:val="0"/>
                <w:sz w:val="22"/>
                <w:lang w:eastAsia="en-US"/>
              </w:rPr>
            </w:pPr>
            <w:r w:rsidRPr="00A44E05">
              <w:rPr>
                <w:rFonts w:ascii="Times New Roman" w:eastAsia="BatangChe" w:hAnsi="Times New Roman" w:cs="Times New Roman"/>
                <w:iCs/>
                <w:color w:val="000000"/>
                <w:kern w:val="0"/>
                <w:sz w:val="22"/>
                <w:shd w:val="clear" w:color="auto" w:fill="FFFFFF"/>
                <w:lang w:eastAsia="en-US"/>
              </w:rPr>
              <w:t xml:space="preserve">For M-ESIM with respect to the terrestrial service, both long-term and short-term interference scenarios should be considered, in which [133 or X] km should be treated as the minimum distance for M-ESIM sharing and compatibility with FS from the low-water mark as officially recognized by the coastal State. </w:t>
            </w:r>
          </w:p>
          <w:p w:rsidR="00B7472C" w:rsidRPr="00A44E05" w:rsidRDefault="00B7472C" w:rsidP="00B7472C">
            <w:pPr>
              <w:widowControl/>
              <w:numPr>
                <w:ilvl w:val="0"/>
                <w:numId w:val="5"/>
              </w:numPr>
              <w:wordWrap/>
              <w:autoSpaceDE/>
              <w:autoSpaceDN/>
              <w:spacing w:before="120" w:line="264" w:lineRule="auto"/>
              <w:jc w:val="left"/>
              <w:rPr>
                <w:rFonts w:ascii="Times New Roman" w:eastAsia="BatangChe" w:hAnsi="Times New Roman" w:cs="Times New Roman"/>
                <w:kern w:val="0"/>
                <w:sz w:val="22"/>
                <w:lang w:eastAsia="en-US"/>
              </w:rPr>
            </w:pPr>
            <w:r w:rsidRPr="00A44E05">
              <w:rPr>
                <w:rFonts w:ascii="Times New Roman" w:eastAsia="BatangChe" w:hAnsi="Times New Roman" w:cs="Times New Roman"/>
                <w:kern w:val="0"/>
                <w:sz w:val="22"/>
                <w:lang w:eastAsia="en-US"/>
              </w:rPr>
              <w:t>There are still several issues on the operation of ESIMs to be clarified and specified in the Draft New Resolution, such as interference management mechanism and its due functionality. Moreover the proper function of switching facility to respond to authorization provided for the operation of ESIM as well as exclusion of territory of countries that did not agree with operation.</w:t>
            </w:r>
          </w:p>
          <w:p w:rsidR="0077095D" w:rsidRPr="00E00EC9" w:rsidRDefault="00B7472C" w:rsidP="00B7472C">
            <w:pPr>
              <w:jc w:val="center"/>
              <w:rPr>
                <w:rFonts w:cstheme="minorHAnsi"/>
                <w:bCs/>
                <w:sz w:val="24"/>
                <w:szCs w:val="24"/>
              </w:rPr>
            </w:pPr>
            <w:r w:rsidRPr="00A44E05">
              <w:rPr>
                <w:rFonts w:ascii="Times New Roman" w:eastAsia="BatangChe" w:hAnsi="Times New Roman" w:cs="Times New Roman"/>
                <w:iCs/>
                <w:color w:val="000000"/>
                <w:kern w:val="0"/>
                <w:sz w:val="22"/>
                <w:shd w:val="clear" w:color="auto" w:fill="FFFFFF"/>
                <w:lang w:eastAsia="en-US"/>
              </w:rPr>
              <w:t>* X: The minimum distance ranges from 86 – 190 km as the current result of ITU-R WP4A studies.</w:t>
            </w:r>
          </w:p>
        </w:tc>
      </w:tr>
      <w:tr w:rsidR="0077095D" w:rsidRPr="00D93A66" w:rsidTr="00D11CA0">
        <w:trPr>
          <w:trHeight w:val="889"/>
        </w:trPr>
        <w:tc>
          <w:tcPr>
            <w:tcW w:w="2917" w:type="dxa"/>
            <w:gridSpan w:val="4"/>
          </w:tcPr>
          <w:p w:rsidR="0077095D" w:rsidRPr="00D93A66" w:rsidRDefault="0077095D" w:rsidP="00D93A66">
            <w:pPr>
              <w:jc w:val="center"/>
              <w:rPr>
                <w:rFonts w:cstheme="minorHAnsi"/>
                <w:b/>
                <w:sz w:val="24"/>
                <w:szCs w:val="24"/>
              </w:rPr>
            </w:pPr>
            <w:r>
              <w:rPr>
                <w:rFonts w:cstheme="minorHAnsi"/>
                <w:b/>
                <w:sz w:val="24"/>
                <w:szCs w:val="24"/>
              </w:rPr>
              <w:lastRenderedPageBreak/>
              <w:t>APT Views for modification of CPM Report</w:t>
            </w:r>
          </w:p>
          <w:p w:rsidR="0077095D" w:rsidRPr="00D93A66" w:rsidRDefault="0077095D" w:rsidP="00447DE1">
            <w:pPr>
              <w:jc w:val="center"/>
              <w:rPr>
                <w:rFonts w:cstheme="minorHAnsi"/>
                <w:b/>
                <w:sz w:val="24"/>
                <w:szCs w:val="24"/>
              </w:rPr>
            </w:pPr>
            <w:r>
              <w:rPr>
                <w:rFonts w:cstheme="minorHAnsi"/>
                <w:bCs/>
                <w:sz w:val="24"/>
                <w:szCs w:val="24"/>
              </w:rPr>
              <w:t>CPM23-2/xxxx</w:t>
            </w:r>
          </w:p>
        </w:tc>
        <w:tc>
          <w:tcPr>
            <w:tcW w:w="8260" w:type="dxa"/>
            <w:gridSpan w:val="11"/>
          </w:tcPr>
          <w:p w:rsidR="0077095D" w:rsidRPr="00E00EC9" w:rsidRDefault="0077095D" w:rsidP="00D93A66">
            <w:pPr>
              <w:jc w:val="center"/>
              <w:rPr>
                <w:rFonts w:cstheme="minorHAnsi"/>
                <w:bCs/>
                <w:sz w:val="24"/>
                <w:szCs w:val="24"/>
              </w:rPr>
            </w:pPr>
          </w:p>
          <w:p w:rsidR="0077095D" w:rsidRPr="00E00EC9" w:rsidRDefault="0077095D" w:rsidP="00CB7A29">
            <w:pPr>
              <w:jc w:val="center"/>
              <w:rPr>
                <w:rFonts w:cstheme="minorHAnsi"/>
                <w:bCs/>
                <w:sz w:val="24"/>
                <w:szCs w:val="24"/>
              </w:rPr>
            </w:pPr>
          </w:p>
        </w:tc>
      </w:tr>
      <w:tr w:rsidR="0077095D" w:rsidRPr="00D93A66" w:rsidTr="00D11CA0">
        <w:tc>
          <w:tcPr>
            <w:tcW w:w="2917" w:type="dxa"/>
            <w:gridSpan w:val="4"/>
          </w:tcPr>
          <w:p w:rsidR="006C7438" w:rsidRPr="00B7472C" w:rsidRDefault="0077095D" w:rsidP="0077095D">
            <w:pPr>
              <w:jc w:val="center"/>
              <w:rPr>
                <w:rFonts w:cstheme="minorHAnsi"/>
                <w:b/>
                <w:sz w:val="24"/>
                <w:szCs w:val="24"/>
                <w:highlight w:val="yellow"/>
              </w:rPr>
            </w:pPr>
            <w:r w:rsidRPr="00B7472C">
              <w:rPr>
                <w:rFonts w:cstheme="minorHAnsi"/>
                <w:b/>
                <w:sz w:val="24"/>
                <w:szCs w:val="24"/>
                <w:highlight w:val="yellow"/>
              </w:rPr>
              <w:t xml:space="preserve">Outcome from earlier </w:t>
            </w:r>
          </w:p>
          <w:p w:rsidR="0077095D" w:rsidRPr="00B7472C" w:rsidRDefault="0077095D" w:rsidP="0077095D">
            <w:pPr>
              <w:jc w:val="center"/>
              <w:rPr>
                <w:rFonts w:cstheme="minorHAnsi"/>
                <w:bCs/>
                <w:sz w:val="24"/>
                <w:szCs w:val="24"/>
                <w:highlight w:val="yellow"/>
              </w:rPr>
            </w:pPr>
            <w:r w:rsidRPr="00B7472C">
              <w:rPr>
                <w:rFonts w:cstheme="minorHAnsi"/>
                <w:b/>
                <w:sz w:val="24"/>
                <w:szCs w:val="24"/>
                <w:highlight w:val="yellow"/>
              </w:rPr>
              <w:t>APT Coord meeting</w:t>
            </w:r>
          </w:p>
        </w:tc>
        <w:tc>
          <w:tcPr>
            <w:tcW w:w="8260" w:type="dxa"/>
            <w:gridSpan w:val="11"/>
          </w:tcPr>
          <w:p w:rsidR="0077095D" w:rsidRPr="00D93A66" w:rsidRDefault="0077095D" w:rsidP="00D93A66">
            <w:pPr>
              <w:jc w:val="center"/>
              <w:rPr>
                <w:rFonts w:cstheme="minorHAnsi"/>
                <w:b/>
                <w:sz w:val="24"/>
                <w:szCs w:val="24"/>
              </w:rPr>
            </w:pPr>
          </w:p>
        </w:tc>
      </w:tr>
      <w:tr w:rsidR="0077095D" w:rsidRPr="00D93A66" w:rsidTr="00D11CA0">
        <w:tc>
          <w:tcPr>
            <w:tcW w:w="11177" w:type="dxa"/>
            <w:gridSpan w:val="15"/>
          </w:tcPr>
          <w:p w:rsidR="0077095D" w:rsidRDefault="0077095D" w:rsidP="0077095D">
            <w:pPr>
              <w:jc w:val="left"/>
              <w:rPr>
                <w:rFonts w:cstheme="minorHAnsi"/>
                <w:b/>
                <w:sz w:val="24"/>
                <w:szCs w:val="24"/>
              </w:rPr>
            </w:pPr>
          </w:p>
        </w:tc>
      </w:tr>
      <w:tr w:rsidR="0077095D" w:rsidRPr="00D93A66" w:rsidTr="00D11CA0">
        <w:tc>
          <w:tcPr>
            <w:tcW w:w="11177" w:type="dxa"/>
            <w:gridSpan w:val="15"/>
          </w:tcPr>
          <w:p w:rsidR="0077095D" w:rsidRPr="007E7577" w:rsidRDefault="0077095D" w:rsidP="006C7438">
            <w:pPr>
              <w:pStyle w:val="ListParagraph"/>
              <w:numPr>
                <w:ilvl w:val="0"/>
                <w:numId w:val="4"/>
              </w:numPr>
              <w:jc w:val="left"/>
              <w:rPr>
                <w:rFonts w:cstheme="minorHAnsi"/>
                <w:b/>
                <w:sz w:val="28"/>
                <w:szCs w:val="28"/>
              </w:rPr>
            </w:pPr>
            <w:r w:rsidRPr="007E7577">
              <w:rPr>
                <w:rFonts w:cstheme="minorHAnsi"/>
                <w:b/>
                <w:sz w:val="28"/>
                <w:szCs w:val="28"/>
              </w:rPr>
              <w:t>Other regional groups</w:t>
            </w:r>
          </w:p>
        </w:tc>
      </w:tr>
      <w:tr w:rsidR="007E7577" w:rsidRPr="00D93A66" w:rsidTr="00D11CA0">
        <w:tc>
          <w:tcPr>
            <w:tcW w:w="1853" w:type="dxa"/>
            <w:gridSpan w:val="2"/>
          </w:tcPr>
          <w:p w:rsidR="007E7577" w:rsidRDefault="007E7577" w:rsidP="00D93A66">
            <w:pPr>
              <w:jc w:val="center"/>
              <w:rPr>
                <w:rFonts w:cstheme="minorHAnsi"/>
                <w:b/>
                <w:sz w:val="24"/>
                <w:szCs w:val="24"/>
              </w:rPr>
            </w:pPr>
          </w:p>
        </w:tc>
        <w:tc>
          <w:tcPr>
            <w:tcW w:w="1839" w:type="dxa"/>
            <w:gridSpan w:val="4"/>
          </w:tcPr>
          <w:p w:rsidR="007E7577" w:rsidRDefault="007E7577" w:rsidP="00A809B7">
            <w:pPr>
              <w:jc w:val="center"/>
              <w:rPr>
                <w:rFonts w:cstheme="minorHAnsi"/>
                <w:b/>
                <w:sz w:val="24"/>
                <w:szCs w:val="24"/>
              </w:rPr>
            </w:pPr>
            <w:r>
              <w:rPr>
                <w:rFonts w:cstheme="minorHAnsi"/>
                <w:b/>
                <w:sz w:val="24"/>
                <w:szCs w:val="24"/>
              </w:rPr>
              <w:t>ATU</w:t>
            </w:r>
          </w:p>
        </w:tc>
        <w:tc>
          <w:tcPr>
            <w:tcW w:w="1840" w:type="dxa"/>
            <w:gridSpan w:val="3"/>
          </w:tcPr>
          <w:p w:rsidR="007E7577" w:rsidRDefault="007E7577" w:rsidP="00D93A66">
            <w:pPr>
              <w:jc w:val="center"/>
              <w:rPr>
                <w:rFonts w:cstheme="minorHAnsi"/>
                <w:b/>
                <w:sz w:val="24"/>
                <w:szCs w:val="24"/>
              </w:rPr>
            </w:pPr>
            <w:r>
              <w:rPr>
                <w:rFonts w:cstheme="minorHAnsi"/>
                <w:b/>
                <w:sz w:val="24"/>
                <w:szCs w:val="24"/>
              </w:rPr>
              <w:t>ASMG</w:t>
            </w:r>
          </w:p>
        </w:tc>
        <w:tc>
          <w:tcPr>
            <w:tcW w:w="1840" w:type="dxa"/>
            <w:gridSpan w:val="3"/>
          </w:tcPr>
          <w:p w:rsidR="007E7577" w:rsidRDefault="007E7577" w:rsidP="00D93A66">
            <w:pPr>
              <w:jc w:val="center"/>
              <w:rPr>
                <w:rFonts w:cstheme="minorHAnsi"/>
                <w:b/>
                <w:sz w:val="24"/>
                <w:szCs w:val="24"/>
              </w:rPr>
            </w:pPr>
            <w:r>
              <w:rPr>
                <w:rFonts w:cstheme="minorHAnsi"/>
                <w:b/>
                <w:sz w:val="24"/>
                <w:szCs w:val="24"/>
              </w:rPr>
              <w:t>CEPT</w:t>
            </w:r>
          </w:p>
        </w:tc>
        <w:tc>
          <w:tcPr>
            <w:tcW w:w="1965" w:type="dxa"/>
            <w:gridSpan w:val="2"/>
          </w:tcPr>
          <w:p w:rsidR="007E7577" w:rsidRDefault="007E7577" w:rsidP="00D93A66">
            <w:pPr>
              <w:jc w:val="center"/>
              <w:rPr>
                <w:rFonts w:cstheme="minorHAnsi"/>
                <w:b/>
                <w:sz w:val="24"/>
                <w:szCs w:val="24"/>
              </w:rPr>
            </w:pPr>
            <w:r>
              <w:rPr>
                <w:rFonts w:cstheme="minorHAnsi"/>
                <w:b/>
                <w:sz w:val="24"/>
                <w:szCs w:val="24"/>
              </w:rPr>
              <w:t>CITEL</w:t>
            </w:r>
          </w:p>
        </w:tc>
        <w:tc>
          <w:tcPr>
            <w:tcW w:w="1840" w:type="dxa"/>
          </w:tcPr>
          <w:p w:rsidR="007E7577" w:rsidRDefault="007E7577" w:rsidP="00D93A66">
            <w:pPr>
              <w:jc w:val="center"/>
              <w:rPr>
                <w:rFonts w:cstheme="minorHAnsi"/>
                <w:b/>
                <w:sz w:val="24"/>
                <w:szCs w:val="24"/>
              </w:rPr>
            </w:pPr>
            <w:r>
              <w:rPr>
                <w:rFonts w:cstheme="minorHAnsi"/>
                <w:b/>
                <w:sz w:val="24"/>
                <w:szCs w:val="24"/>
              </w:rPr>
              <w:t>RCC</w:t>
            </w:r>
          </w:p>
        </w:tc>
      </w:tr>
      <w:tr w:rsidR="007E7577" w:rsidRPr="00D93A66" w:rsidTr="00D11CA0">
        <w:tc>
          <w:tcPr>
            <w:tcW w:w="1853" w:type="dxa"/>
            <w:gridSpan w:val="2"/>
          </w:tcPr>
          <w:p w:rsidR="007E7577" w:rsidRDefault="007E7577" w:rsidP="00D93A66">
            <w:pPr>
              <w:jc w:val="center"/>
              <w:rPr>
                <w:rFonts w:cstheme="minorHAnsi"/>
                <w:b/>
                <w:sz w:val="24"/>
                <w:szCs w:val="24"/>
              </w:rPr>
            </w:pPr>
            <w:r>
              <w:rPr>
                <w:rFonts w:cstheme="minorHAnsi"/>
                <w:b/>
                <w:sz w:val="24"/>
                <w:szCs w:val="24"/>
              </w:rPr>
              <w:t>Input(s)</w:t>
            </w:r>
          </w:p>
        </w:tc>
        <w:tc>
          <w:tcPr>
            <w:tcW w:w="1839" w:type="dxa"/>
            <w:gridSpan w:val="4"/>
          </w:tcPr>
          <w:p w:rsidR="007E7577" w:rsidRPr="00B7472C" w:rsidRDefault="00B7472C" w:rsidP="00D93A66">
            <w:pPr>
              <w:jc w:val="center"/>
              <w:rPr>
                <w:rFonts w:cstheme="minorHAnsi"/>
                <w:sz w:val="24"/>
                <w:szCs w:val="24"/>
              </w:rPr>
            </w:pPr>
            <w:r w:rsidRPr="00B7472C">
              <w:rPr>
                <w:rFonts w:ascii="Verdana" w:hAnsi="Verdana"/>
              </w:rPr>
              <w:t>CPM23-2/137-E</w:t>
            </w:r>
          </w:p>
        </w:tc>
        <w:tc>
          <w:tcPr>
            <w:tcW w:w="1840" w:type="dxa"/>
            <w:gridSpan w:val="3"/>
          </w:tcPr>
          <w:p w:rsidR="007E7577" w:rsidRDefault="007E7577" w:rsidP="00B7472C">
            <w:pPr>
              <w:jc w:val="center"/>
              <w:rPr>
                <w:rFonts w:cstheme="minorHAnsi"/>
                <w:b/>
                <w:sz w:val="24"/>
                <w:szCs w:val="24"/>
              </w:rPr>
            </w:pPr>
            <w:r>
              <w:rPr>
                <w:rFonts w:cstheme="minorHAnsi"/>
                <w:bCs/>
                <w:sz w:val="24"/>
                <w:szCs w:val="24"/>
              </w:rPr>
              <w:t>CPM23-2/</w:t>
            </w:r>
            <w:r w:rsidR="00B7472C">
              <w:rPr>
                <w:rFonts w:cstheme="minorHAnsi"/>
                <w:bCs/>
                <w:sz w:val="24"/>
                <w:szCs w:val="24"/>
              </w:rPr>
              <w:t>36-E</w:t>
            </w:r>
          </w:p>
        </w:tc>
        <w:tc>
          <w:tcPr>
            <w:tcW w:w="1840" w:type="dxa"/>
            <w:gridSpan w:val="3"/>
          </w:tcPr>
          <w:p w:rsidR="007E7577" w:rsidRDefault="007E7577" w:rsidP="00D93A66">
            <w:pPr>
              <w:jc w:val="center"/>
              <w:rPr>
                <w:rFonts w:cstheme="minorHAnsi"/>
                <w:b/>
                <w:sz w:val="24"/>
                <w:szCs w:val="24"/>
              </w:rPr>
            </w:pPr>
            <w:r>
              <w:rPr>
                <w:rFonts w:cstheme="minorHAnsi"/>
                <w:bCs/>
                <w:sz w:val="24"/>
                <w:szCs w:val="24"/>
              </w:rPr>
              <w:t>CPM23-2/</w:t>
            </w:r>
            <w:r w:rsidR="00B7472C">
              <w:rPr>
                <w:rFonts w:cstheme="minorHAnsi"/>
                <w:bCs/>
                <w:sz w:val="24"/>
                <w:szCs w:val="24"/>
              </w:rPr>
              <w:t>72-E</w:t>
            </w:r>
          </w:p>
        </w:tc>
        <w:tc>
          <w:tcPr>
            <w:tcW w:w="1965" w:type="dxa"/>
            <w:gridSpan w:val="2"/>
          </w:tcPr>
          <w:p w:rsidR="007E7577" w:rsidRDefault="007E7577" w:rsidP="00D93A66">
            <w:pPr>
              <w:jc w:val="center"/>
              <w:rPr>
                <w:rFonts w:cstheme="minorHAnsi"/>
                <w:b/>
                <w:sz w:val="24"/>
                <w:szCs w:val="24"/>
              </w:rPr>
            </w:pPr>
            <w:r>
              <w:rPr>
                <w:rFonts w:cstheme="minorHAnsi"/>
                <w:bCs/>
                <w:sz w:val="24"/>
                <w:szCs w:val="24"/>
              </w:rPr>
              <w:t>CPM23-2/xxxx</w:t>
            </w:r>
          </w:p>
        </w:tc>
        <w:tc>
          <w:tcPr>
            <w:tcW w:w="1840" w:type="dxa"/>
          </w:tcPr>
          <w:p w:rsidR="007E7577" w:rsidRDefault="007E7577" w:rsidP="00D93A66">
            <w:pPr>
              <w:jc w:val="center"/>
              <w:rPr>
                <w:rFonts w:cstheme="minorHAnsi"/>
                <w:b/>
                <w:sz w:val="24"/>
                <w:szCs w:val="24"/>
              </w:rPr>
            </w:pPr>
            <w:r>
              <w:rPr>
                <w:rFonts w:cstheme="minorHAnsi"/>
                <w:bCs/>
                <w:sz w:val="24"/>
                <w:szCs w:val="24"/>
              </w:rPr>
              <w:t>CPM23-2/xxxx</w:t>
            </w:r>
          </w:p>
        </w:tc>
      </w:tr>
      <w:tr w:rsidR="007E7577" w:rsidRPr="00D93A66" w:rsidTr="00D11CA0">
        <w:tc>
          <w:tcPr>
            <w:tcW w:w="1853" w:type="dxa"/>
            <w:gridSpan w:val="2"/>
          </w:tcPr>
          <w:p w:rsidR="007E7577" w:rsidRDefault="007E7577" w:rsidP="00D93A66">
            <w:pPr>
              <w:jc w:val="center"/>
              <w:rPr>
                <w:rFonts w:cstheme="minorHAnsi"/>
                <w:b/>
                <w:sz w:val="24"/>
                <w:szCs w:val="24"/>
              </w:rPr>
            </w:pPr>
            <w:r>
              <w:rPr>
                <w:rFonts w:cstheme="minorHAnsi"/>
                <w:b/>
                <w:sz w:val="24"/>
                <w:szCs w:val="24"/>
              </w:rPr>
              <w:t>Summary of views/proposals</w:t>
            </w:r>
          </w:p>
        </w:tc>
        <w:tc>
          <w:tcPr>
            <w:tcW w:w="1839" w:type="dxa"/>
            <w:gridSpan w:val="4"/>
          </w:tcPr>
          <w:p w:rsidR="007E7577" w:rsidRPr="00480F4C" w:rsidRDefault="007E7577" w:rsidP="00480F4C">
            <w:pPr>
              <w:jc w:val="center"/>
              <w:rPr>
                <w:rFonts w:cstheme="minorHAnsi"/>
                <w:sz w:val="22"/>
              </w:rPr>
            </w:pPr>
          </w:p>
        </w:tc>
        <w:tc>
          <w:tcPr>
            <w:tcW w:w="1840" w:type="dxa"/>
            <w:gridSpan w:val="3"/>
          </w:tcPr>
          <w:p w:rsidR="007E7577" w:rsidRPr="00480F4C" w:rsidRDefault="007E7577" w:rsidP="00480F4C">
            <w:pPr>
              <w:jc w:val="center"/>
              <w:rPr>
                <w:rFonts w:cstheme="minorHAnsi"/>
                <w:b/>
                <w:sz w:val="22"/>
              </w:rPr>
            </w:pPr>
          </w:p>
        </w:tc>
        <w:tc>
          <w:tcPr>
            <w:tcW w:w="1840" w:type="dxa"/>
            <w:gridSpan w:val="3"/>
          </w:tcPr>
          <w:p w:rsidR="007E7577" w:rsidRPr="00480F4C" w:rsidRDefault="007E7577" w:rsidP="00480F4C">
            <w:pPr>
              <w:jc w:val="center"/>
              <w:rPr>
                <w:rFonts w:cstheme="minorHAnsi"/>
                <w:b/>
                <w:sz w:val="22"/>
              </w:rPr>
            </w:pPr>
          </w:p>
        </w:tc>
        <w:tc>
          <w:tcPr>
            <w:tcW w:w="1965" w:type="dxa"/>
            <w:gridSpan w:val="2"/>
          </w:tcPr>
          <w:p w:rsidR="007E7577" w:rsidRPr="00480F4C" w:rsidRDefault="007E7577" w:rsidP="00480F4C">
            <w:pPr>
              <w:jc w:val="center"/>
              <w:rPr>
                <w:rFonts w:cstheme="minorHAnsi"/>
                <w:b/>
                <w:sz w:val="22"/>
              </w:rPr>
            </w:pPr>
          </w:p>
        </w:tc>
        <w:tc>
          <w:tcPr>
            <w:tcW w:w="1840" w:type="dxa"/>
          </w:tcPr>
          <w:p w:rsidR="007E7577" w:rsidRPr="00480F4C" w:rsidRDefault="007E7577" w:rsidP="00480F4C">
            <w:pPr>
              <w:jc w:val="center"/>
              <w:rPr>
                <w:rFonts w:cstheme="minorHAnsi"/>
                <w:b/>
                <w:sz w:val="22"/>
              </w:rPr>
            </w:pPr>
          </w:p>
        </w:tc>
      </w:tr>
      <w:tr w:rsidR="006C7438" w:rsidRPr="00D93A66" w:rsidTr="00D11CA0">
        <w:tc>
          <w:tcPr>
            <w:tcW w:w="11177" w:type="dxa"/>
            <w:gridSpan w:val="15"/>
          </w:tcPr>
          <w:p w:rsidR="006C7438" w:rsidRPr="006C7438" w:rsidRDefault="006C7438" w:rsidP="006C7438">
            <w:pPr>
              <w:jc w:val="left"/>
              <w:rPr>
                <w:rFonts w:cstheme="minorHAnsi"/>
                <w:b/>
                <w:sz w:val="24"/>
                <w:szCs w:val="24"/>
              </w:rPr>
            </w:pPr>
          </w:p>
        </w:tc>
      </w:tr>
      <w:tr w:rsidR="0077095D" w:rsidRPr="00D93A66" w:rsidTr="00D11CA0">
        <w:tc>
          <w:tcPr>
            <w:tcW w:w="11177" w:type="dxa"/>
            <w:gridSpan w:val="15"/>
          </w:tcPr>
          <w:p w:rsidR="0077095D" w:rsidRPr="007E7577" w:rsidRDefault="007E7577" w:rsidP="006C7438">
            <w:pPr>
              <w:pStyle w:val="ListParagraph"/>
              <w:numPr>
                <w:ilvl w:val="0"/>
                <w:numId w:val="4"/>
              </w:numPr>
              <w:jc w:val="left"/>
              <w:rPr>
                <w:rFonts w:cstheme="minorHAnsi"/>
                <w:b/>
                <w:sz w:val="28"/>
                <w:szCs w:val="28"/>
              </w:rPr>
            </w:pPr>
            <w:r>
              <w:rPr>
                <w:rFonts w:cstheme="minorHAnsi"/>
                <w:b/>
                <w:sz w:val="28"/>
                <w:szCs w:val="28"/>
              </w:rPr>
              <w:t>Summary of discussion</w:t>
            </w:r>
            <w:r w:rsidR="00FE6D23">
              <w:rPr>
                <w:rFonts w:cstheme="minorHAnsi"/>
                <w:b/>
                <w:sz w:val="28"/>
                <w:szCs w:val="28"/>
              </w:rPr>
              <w:t>s</w:t>
            </w:r>
            <w:r>
              <w:rPr>
                <w:rFonts w:cstheme="minorHAnsi"/>
                <w:b/>
                <w:sz w:val="28"/>
                <w:szCs w:val="28"/>
              </w:rPr>
              <w:t xml:space="preserve"> during CPM23-</w:t>
            </w:r>
            <w:r w:rsidR="00580AA6">
              <w:rPr>
                <w:rFonts w:cstheme="minorHAnsi"/>
                <w:b/>
                <w:sz w:val="28"/>
                <w:szCs w:val="28"/>
              </w:rPr>
              <w:t>2</w:t>
            </w:r>
          </w:p>
        </w:tc>
      </w:tr>
      <w:tr w:rsidR="006C7438" w:rsidRPr="00D93A66" w:rsidTr="00D11CA0">
        <w:tc>
          <w:tcPr>
            <w:tcW w:w="3397" w:type="dxa"/>
            <w:gridSpan w:val="5"/>
          </w:tcPr>
          <w:p w:rsidR="006C7438" w:rsidRPr="006C7438" w:rsidRDefault="006C7438" w:rsidP="006C7438">
            <w:pPr>
              <w:jc w:val="left"/>
              <w:rPr>
                <w:rFonts w:cstheme="minorHAnsi"/>
                <w:b/>
                <w:sz w:val="24"/>
                <w:szCs w:val="24"/>
              </w:rPr>
            </w:pPr>
            <w:r w:rsidRPr="006C7438">
              <w:rPr>
                <w:rFonts w:cstheme="minorHAnsi"/>
                <w:b/>
                <w:sz w:val="24"/>
                <w:szCs w:val="24"/>
              </w:rPr>
              <w:t>Working documents</w:t>
            </w:r>
            <w:r>
              <w:rPr>
                <w:rFonts w:cstheme="minorHAnsi"/>
                <w:b/>
                <w:sz w:val="24"/>
                <w:szCs w:val="24"/>
              </w:rPr>
              <w:t>/</w:t>
            </w:r>
            <w:r w:rsidRPr="006C7438">
              <w:rPr>
                <w:rFonts w:cstheme="minorHAnsi"/>
                <w:b/>
                <w:sz w:val="24"/>
                <w:szCs w:val="24"/>
              </w:rPr>
              <w:t>TEMPs</w:t>
            </w:r>
            <w:r>
              <w:rPr>
                <w:rFonts w:cstheme="minorHAnsi"/>
                <w:b/>
                <w:sz w:val="24"/>
                <w:szCs w:val="24"/>
              </w:rPr>
              <w:t xml:space="preserve"> etc</w:t>
            </w:r>
          </w:p>
        </w:tc>
        <w:tc>
          <w:tcPr>
            <w:tcW w:w="7780" w:type="dxa"/>
            <w:gridSpan w:val="10"/>
          </w:tcPr>
          <w:p w:rsidR="007B1BAE" w:rsidRPr="007B1BAE" w:rsidRDefault="007B1BAE" w:rsidP="007B1BAE">
            <w:pPr>
              <w:widowControl/>
              <w:wordWrap/>
              <w:autoSpaceDE/>
              <w:autoSpaceDN/>
              <w:contextualSpacing/>
              <w:jc w:val="left"/>
              <w:rPr>
                <w:rFonts w:ascii="Times New Roman" w:eastAsia="Microsoft JhengHei UI" w:hAnsi="Times New Roman" w:cs="Times New Roman"/>
                <w:kern w:val="0"/>
                <w:sz w:val="24"/>
                <w:szCs w:val="24"/>
                <w:lang w:eastAsia="en-US"/>
              </w:rPr>
            </w:pPr>
            <w:r>
              <w:rPr>
                <w:rFonts w:ascii="Times New Roman" w:eastAsia="Microsoft JhengHei UI" w:hAnsi="Times New Roman" w:cs="Times New Roman"/>
                <w:kern w:val="0"/>
                <w:sz w:val="24"/>
                <w:szCs w:val="24"/>
                <w:lang w:eastAsia="en-US"/>
              </w:rPr>
              <w:t xml:space="preserve">Input documents: </w:t>
            </w:r>
            <w:hyperlink r:id="rId9" w:history="1">
              <w:r w:rsidRPr="007B1BAE">
                <w:rPr>
                  <w:rFonts w:ascii="Times New Roman" w:eastAsia="Microsoft JhengHei UI" w:hAnsi="Times New Roman" w:cs="Times New Roman"/>
                  <w:color w:val="0563C1"/>
                  <w:kern w:val="0"/>
                  <w:sz w:val="24"/>
                  <w:u w:val="single"/>
                  <w:lang w:eastAsia="en-US"/>
                </w:rPr>
                <w:t>Doc 1 + Corrigendum</w:t>
              </w:r>
            </w:hyperlink>
            <w:r>
              <w:rPr>
                <w:rFonts w:ascii="Calibri" w:eastAsia="Calibri" w:hAnsi="Calibri" w:cs="Times New Roman"/>
                <w:kern w:val="0"/>
                <w:sz w:val="22"/>
                <w:lang w:eastAsia="en-US"/>
              </w:rPr>
              <w:t xml:space="preserve"> (Draft CPM Report), </w:t>
            </w:r>
            <w:hyperlink r:id="rId10" w:history="1">
              <w:r w:rsidRPr="007B1BAE">
                <w:rPr>
                  <w:rFonts w:ascii="Times New Roman" w:eastAsia="Microsoft JhengHei UI" w:hAnsi="Times New Roman" w:cs="Times New Roman"/>
                  <w:color w:val="0563C1"/>
                  <w:kern w:val="0"/>
                  <w:sz w:val="24"/>
                  <w:u w:val="single"/>
                  <w:lang w:eastAsia="en-US"/>
                </w:rPr>
                <w:t>Doc 2</w:t>
              </w:r>
            </w:hyperlink>
            <w:r>
              <w:rPr>
                <w:rFonts w:ascii="Calibri" w:eastAsia="Calibri" w:hAnsi="Calibri" w:cs="Times New Roman"/>
                <w:kern w:val="0"/>
                <w:sz w:val="22"/>
                <w:lang w:eastAsia="en-US"/>
              </w:rPr>
              <w:t xml:space="preserve"> (IMO), </w:t>
            </w:r>
            <w:hyperlink r:id="rId11" w:history="1">
              <w:r w:rsidRPr="007B1BAE">
                <w:rPr>
                  <w:rFonts w:ascii="Times New Roman" w:eastAsia="Microsoft JhengHei UI" w:hAnsi="Times New Roman" w:cs="Times New Roman"/>
                  <w:color w:val="0563C1"/>
                  <w:kern w:val="0"/>
                  <w:sz w:val="24"/>
                  <w:u w:val="single"/>
                  <w:lang w:eastAsia="en-US"/>
                </w:rPr>
                <w:t>Doc 16</w:t>
              </w:r>
            </w:hyperlink>
            <w:r>
              <w:rPr>
                <w:rFonts w:ascii="Calibri" w:eastAsia="Calibri" w:hAnsi="Calibri" w:cs="Times New Roman"/>
                <w:kern w:val="0"/>
                <w:sz w:val="22"/>
                <w:lang w:eastAsia="en-US"/>
              </w:rPr>
              <w:t xml:space="preserve"> (ICAO), </w:t>
            </w:r>
            <w:r w:rsidRPr="007B1BAE">
              <w:rPr>
                <w:rFonts w:ascii="Times New Roman" w:eastAsia="Microsoft JhengHei UI" w:hAnsi="Times New Roman" w:cs="Times New Roman"/>
                <w:kern w:val="0"/>
                <w:sz w:val="24"/>
                <w:szCs w:val="24"/>
                <w:lang w:eastAsia="en-US"/>
              </w:rPr>
              <w:t xml:space="preserve"> </w:t>
            </w:r>
            <w:hyperlink r:id="rId12" w:history="1">
              <w:r w:rsidRPr="007B1BAE">
                <w:rPr>
                  <w:rFonts w:ascii="Times New Roman" w:eastAsia="Microsoft JhengHei UI" w:hAnsi="Times New Roman" w:cs="Times New Roman"/>
                  <w:color w:val="0563C1"/>
                  <w:kern w:val="0"/>
                  <w:sz w:val="24"/>
                  <w:u w:val="single"/>
                  <w:lang w:eastAsia="en-US"/>
                </w:rPr>
                <w:t>Doc 36</w:t>
              </w:r>
            </w:hyperlink>
            <w:r>
              <w:rPr>
                <w:rFonts w:ascii="Calibri" w:eastAsia="Calibri" w:hAnsi="Calibri" w:cs="Times New Roman"/>
                <w:kern w:val="0"/>
                <w:sz w:val="22"/>
                <w:lang w:eastAsia="en-US"/>
              </w:rPr>
              <w:t xml:space="preserve"> (ASMG), </w:t>
            </w:r>
            <w:hyperlink r:id="rId13" w:history="1">
              <w:r w:rsidRPr="007B1BAE">
                <w:rPr>
                  <w:rFonts w:ascii="Times New Roman" w:eastAsia="Microsoft JhengHei UI" w:hAnsi="Times New Roman" w:cs="Times New Roman"/>
                  <w:color w:val="0563C1"/>
                  <w:kern w:val="0"/>
                  <w:sz w:val="24"/>
                  <w:u w:val="single"/>
                  <w:lang w:eastAsia="en-US"/>
                </w:rPr>
                <w:t>Doc 63</w:t>
              </w:r>
            </w:hyperlink>
            <w:r>
              <w:rPr>
                <w:rFonts w:ascii="Calibri" w:eastAsia="Calibri" w:hAnsi="Calibri" w:cs="Times New Roman"/>
                <w:kern w:val="0"/>
                <w:sz w:val="22"/>
                <w:lang w:eastAsia="en-US"/>
              </w:rPr>
              <w:t xml:space="preserve"> (CHN), </w:t>
            </w:r>
            <w:hyperlink r:id="rId14" w:history="1">
              <w:r w:rsidRPr="007B1BAE">
                <w:rPr>
                  <w:rFonts w:ascii="Times New Roman" w:eastAsia="Microsoft JhengHei UI" w:hAnsi="Times New Roman" w:cs="Times New Roman"/>
                  <w:color w:val="0563C1"/>
                  <w:kern w:val="0"/>
                  <w:sz w:val="24"/>
                  <w:u w:val="single"/>
                  <w:lang w:eastAsia="en-US"/>
                </w:rPr>
                <w:t>Doc 72</w:t>
              </w:r>
            </w:hyperlink>
            <w:r>
              <w:rPr>
                <w:rFonts w:ascii="Calibri" w:eastAsia="Calibri" w:hAnsi="Calibri" w:cs="Times New Roman"/>
                <w:kern w:val="0"/>
                <w:sz w:val="22"/>
                <w:lang w:eastAsia="en-US"/>
              </w:rPr>
              <w:t xml:space="preserve"> (CEPT), </w:t>
            </w:r>
            <w:hyperlink r:id="rId15" w:history="1">
              <w:r w:rsidRPr="007B1BAE">
                <w:rPr>
                  <w:rFonts w:ascii="Times New Roman" w:eastAsia="Microsoft JhengHei UI" w:hAnsi="Times New Roman" w:cs="Times New Roman"/>
                  <w:color w:val="0563C1"/>
                  <w:kern w:val="0"/>
                  <w:sz w:val="24"/>
                  <w:u w:val="single"/>
                  <w:lang w:eastAsia="en-US"/>
                </w:rPr>
                <w:t>Doc 108</w:t>
              </w:r>
            </w:hyperlink>
            <w:r>
              <w:rPr>
                <w:rFonts w:ascii="Calibri" w:eastAsia="Calibri" w:hAnsi="Calibri" w:cs="Times New Roman"/>
                <w:kern w:val="0"/>
                <w:sz w:val="22"/>
                <w:lang w:eastAsia="en-US"/>
              </w:rPr>
              <w:t xml:space="preserve"> (IRN), </w:t>
            </w:r>
            <w:hyperlink r:id="rId16" w:history="1">
              <w:r w:rsidRPr="007B1BAE">
                <w:rPr>
                  <w:rFonts w:ascii="Times New Roman" w:eastAsia="Microsoft JhengHei UI" w:hAnsi="Times New Roman" w:cs="Times New Roman"/>
                  <w:color w:val="0563C1"/>
                  <w:kern w:val="0"/>
                  <w:sz w:val="24"/>
                  <w:u w:val="single"/>
                  <w:lang w:eastAsia="en-US"/>
                </w:rPr>
                <w:t>Doc 127</w:t>
              </w:r>
            </w:hyperlink>
            <w:r>
              <w:rPr>
                <w:rFonts w:ascii="Calibri" w:eastAsia="Calibri" w:hAnsi="Calibri" w:cs="Times New Roman"/>
                <w:kern w:val="0"/>
                <w:sz w:val="22"/>
                <w:lang w:eastAsia="en-US"/>
              </w:rPr>
              <w:t xml:space="preserve"> (AUS), </w:t>
            </w:r>
            <w:hyperlink r:id="rId17" w:history="1">
              <w:r w:rsidRPr="007B1BAE">
                <w:rPr>
                  <w:rFonts w:ascii="Times New Roman" w:eastAsia="Microsoft JhengHei UI" w:hAnsi="Times New Roman" w:cs="Times New Roman"/>
                  <w:color w:val="0563C1"/>
                  <w:kern w:val="0"/>
                  <w:sz w:val="24"/>
                  <w:u w:val="single"/>
                  <w:lang w:eastAsia="en-US"/>
                </w:rPr>
                <w:t>Doc 137</w:t>
              </w:r>
            </w:hyperlink>
            <w:r>
              <w:rPr>
                <w:rFonts w:ascii="Calibri" w:eastAsia="Calibri" w:hAnsi="Calibri" w:cs="Times New Roman"/>
                <w:kern w:val="0"/>
                <w:sz w:val="22"/>
                <w:lang w:eastAsia="en-US"/>
              </w:rPr>
              <w:t xml:space="preserve"> (ATU), </w:t>
            </w:r>
            <w:hyperlink r:id="rId18" w:history="1">
              <w:r w:rsidRPr="007B1BAE">
                <w:rPr>
                  <w:rFonts w:ascii="Times New Roman" w:eastAsia="Microsoft JhengHei UI" w:hAnsi="Times New Roman" w:cs="Times New Roman"/>
                  <w:color w:val="0563C1"/>
                  <w:kern w:val="0"/>
                  <w:sz w:val="24"/>
                  <w:u w:val="single"/>
                  <w:lang w:eastAsia="en-US"/>
                </w:rPr>
                <w:t>Doc 169</w:t>
              </w:r>
            </w:hyperlink>
            <w:r>
              <w:rPr>
                <w:rFonts w:ascii="Calibri" w:eastAsia="Calibri" w:hAnsi="Calibri" w:cs="Times New Roman"/>
                <w:kern w:val="0"/>
                <w:sz w:val="22"/>
                <w:lang w:eastAsia="en-US"/>
              </w:rPr>
              <w:t xml:space="preserve"> (RUS), </w:t>
            </w:r>
            <w:hyperlink r:id="rId19" w:history="1">
              <w:r w:rsidRPr="007B1BAE">
                <w:rPr>
                  <w:rFonts w:ascii="Times New Roman" w:eastAsia="Microsoft JhengHei UI" w:hAnsi="Times New Roman" w:cs="Times New Roman"/>
                  <w:color w:val="0563C1"/>
                  <w:kern w:val="0"/>
                  <w:sz w:val="24"/>
                  <w:u w:val="single"/>
                  <w:lang w:eastAsia="en-US"/>
                </w:rPr>
                <w:t>Doc 187</w:t>
              </w:r>
            </w:hyperlink>
            <w:r>
              <w:rPr>
                <w:rFonts w:ascii="Calibri" w:eastAsia="Calibri" w:hAnsi="Calibri" w:cs="Times New Roman"/>
                <w:kern w:val="0"/>
                <w:sz w:val="22"/>
                <w:lang w:eastAsia="en-US"/>
              </w:rPr>
              <w:t xml:space="preserve"> (SNG), </w:t>
            </w:r>
            <w:hyperlink r:id="rId20" w:history="1">
              <w:r w:rsidRPr="007B1BAE">
                <w:rPr>
                  <w:rFonts w:ascii="Times New Roman" w:eastAsia="Microsoft JhengHei UI" w:hAnsi="Times New Roman" w:cs="Times New Roman"/>
                  <w:color w:val="0563C1"/>
                  <w:kern w:val="0"/>
                  <w:sz w:val="24"/>
                  <w:u w:val="single"/>
                  <w:lang w:eastAsia="en-US"/>
                </w:rPr>
                <w:t>Doc 218</w:t>
              </w:r>
            </w:hyperlink>
            <w:r>
              <w:rPr>
                <w:rFonts w:ascii="Calibri" w:eastAsia="Calibri" w:hAnsi="Calibri" w:cs="Times New Roman"/>
                <w:kern w:val="0"/>
                <w:sz w:val="22"/>
                <w:lang w:eastAsia="en-US"/>
              </w:rPr>
              <w:t xml:space="preserve"> (KOR), </w:t>
            </w:r>
            <w:hyperlink r:id="rId21" w:history="1">
              <w:r w:rsidRPr="007B1BAE">
                <w:rPr>
                  <w:rFonts w:ascii="Times New Roman" w:eastAsia="Microsoft JhengHei UI" w:hAnsi="Times New Roman" w:cs="Times New Roman"/>
                  <w:color w:val="0563C1"/>
                  <w:kern w:val="0"/>
                  <w:sz w:val="24"/>
                  <w:u w:val="single"/>
                  <w:lang w:eastAsia="en-US"/>
                </w:rPr>
                <w:t>MEX Input AI 1.15</w:t>
              </w:r>
            </w:hyperlink>
            <w:r>
              <w:rPr>
                <w:rFonts w:ascii="Calibri" w:eastAsia="Calibri" w:hAnsi="Calibri" w:cs="Times New Roman"/>
                <w:kern w:val="0"/>
                <w:sz w:val="22"/>
                <w:lang w:eastAsia="en-US"/>
              </w:rPr>
              <w:t xml:space="preserve"> (MEX)</w:t>
            </w:r>
          </w:p>
          <w:p w:rsidR="006C7438" w:rsidRPr="0077095D" w:rsidRDefault="006C7438" w:rsidP="006C7438">
            <w:pPr>
              <w:jc w:val="left"/>
              <w:rPr>
                <w:rFonts w:cstheme="minorHAnsi"/>
                <w:bCs/>
                <w:sz w:val="24"/>
                <w:szCs w:val="24"/>
              </w:rPr>
            </w:pPr>
          </w:p>
        </w:tc>
      </w:tr>
      <w:tr w:rsidR="006C7438" w:rsidRPr="00D93A66" w:rsidTr="00D11CA0">
        <w:tc>
          <w:tcPr>
            <w:tcW w:w="11177" w:type="dxa"/>
            <w:gridSpan w:val="15"/>
          </w:tcPr>
          <w:p w:rsidR="00F73F06" w:rsidRDefault="00F73F06" w:rsidP="00602B78">
            <w:pPr>
              <w:rPr>
                <w:rFonts w:cstheme="minorHAnsi"/>
                <w:bCs/>
                <w:sz w:val="24"/>
                <w:szCs w:val="24"/>
              </w:rPr>
            </w:pPr>
            <w:r>
              <w:rPr>
                <w:rFonts w:cstheme="minorHAnsi"/>
                <w:bCs/>
                <w:sz w:val="24"/>
                <w:szCs w:val="24"/>
              </w:rPr>
              <w:t xml:space="preserve">The  SWG-4A AI 1.15 received 13 contributions  from IMO, ICAO, ASMG, CEPT, ATU and 7 countries on modification to draft CPM text. </w:t>
            </w:r>
          </w:p>
          <w:p w:rsidR="00F73F06" w:rsidRPr="00F73F06" w:rsidRDefault="00713510" w:rsidP="00602B78">
            <w:pPr>
              <w:rPr>
                <w:rFonts w:cstheme="minorHAnsi"/>
                <w:b/>
                <w:bCs/>
                <w:sz w:val="24"/>
                <w:szCs w:val="24"/>
              </w:rPr>
            </w:pPr>
            <w:r>
              <w:rPr>
                <w:rFonts w:cstheme="minorHAnsi"/>
                <w:b/>
                <w:bCs/>
                <w:sz w:val="24"/>
                <w:szCs w:val="24"/>
              </w:rPr>
              <w:t>The SWG-4A AI 1.15 met sixth</w:t>
            </w:r>
            <w:r w:rsidR="00F73F06" w:rsidRPr="00F73F06">
              <w:rPr>
                <w:rFonts w:cstheme="minorHAnsi"/>
                <w:b/>
                <w:bCs/>
                <w:sz w:val="24"/>
                <w:szCs w:val="24"/>
              </w:rPr>
              <w:t xml:space="preserve"> times: </w:t>
            </w:r>
          </w:p>
          <w:p w:rsidR="00AF7071" w:rsidRDefault="0055758B" w:rsidP="00602B78">
            <w:pPr>
              <w:rPr>
                <w:rFonts w:cstheme="minorHAnsi"/>
                <w:bCs/>
                <w:sz w:val="24"/>
                <w:szCs w:val="24"/>
              </w:rPr>
            </w:pPr>
            <w:r w:rsidRPr="00602B78">
              <w:rPr>
                <w:rFonts w:cstheme="minorHAnsi"/>
                <w:bCs/>
                <w:sz w:val="24"/>
                <w:szCs w:val="24"/>
              </w:rPr>
              <w:t>The two meetings</w:t>
            </w:r>
            <w:r w:rsidR="004919B7" w:rsidRPr="00602B78">
              <w:rPr>
                <w:rFonts w:cstheme="minorHAnsi"/>
                <w:bCs/>
                <w:sz w:val="24"/>
                <w:szCs w:val="24"/>
              </w:rPr>
              <w:t xml:space="preserve"> on 29/3 and 30/3, all submitted documents have been presented.</w:t>
            </w:r>
            <w:r w:rsidR="00602B78" w:rsidRPr="00602B78">
              <w:rPr>
                <w:rFonts w:cstheme="minorHAnsi"/>
                <w:bCs/>
                <w:sz w:val="24"/>
                <w:szCs w:val="24"/>
              </w:rPr>
              <w:t xml:space="preserve"> </w:t>
            </w:r>
          </w:p>
          <w:p w:rsidR="00602B78" w:rsidRPr="00602B78" w:rsidRDefault="00602B78" w:rsidP="00602B78">
            <w:pPr>
              <w:rPr>
                <w:rFonts w:cstheme="minorHAnsi"/>
                <w:bCs/>
                <w:sz w:val="24"/>
                <w:szCs w:val="24"/>
              </w:rPr>
            </w:pPr>
            <w:r w:rsidRPr="00602B78">
              <w:rPr>
                <w:rFonts w:cstheme="minorHAnsi"/>
                <w:bCs/>
                <w:sz w:val="24"/>
                <w:szCs w:val="24"/>
              </w:rPr>
              <w:t xml:space="preserve">The meeting </w:t>
            </w:r>
            <w:r>
              <w:rPr>
                <w:rFonts w:cstheme="minorHAnsi"/>
                <w:bCs/>
                <w:sz w:val="24"/>
                <w:szCs w:val="24"/>
              </w:rPr>
              <w:t xml:space="preserve">consider </w:t>
            </w:r>
            <w:r w:rsidR="00AF7071">
              <w:rPr>
                <w:rFonts w:cstheme="minorHAnsi"/>
                <w:bCs/>
                <w:sz w:val="24"/>
                <w:szCs w:val="24"/>
              </w:rPr>
              <w:t xml:space="preserve">as a </w:t>
            </w:r>
            <w:r w:rsidR="00D85381">
              <w:rPr>
                <w:rFonts w:cstheme="minorHAnsi"/>
                <w:bCs/>
                <w:sz w:val="24"/>
                <w:szCs w:val="24"/>
              </w:rPr>
              <w:t xml:space="preserve">preliminary </w:t>
            </w:r>
            <w:r w:rsidR="00AF7071">
              <w:rPr>
                <w:rFonts w:cstheme="minorHAnsi"/>
                <w:bCs/>
                <w:sz w:val="24"/>
                <w:szCs w:val="24"/>
              </w:rPr>
              <w:t xml:space="preserve">view for </w:t>
            </w:r>
            <w:r>
              <w:rPr>
                <w:rFonts w:cstheme="minorHAnsi"/>
                <w:bCs/>
                <w:sz w:val="24"/>
                <w:szCs w:val="24"/>
              </w:rPr>
              <w:t xml:space="preserve">the following </w:t>
            </w:r>
            <w:r w:rsidRPr="00602B78">
              <w:rPr>
                <w:rFonts w:cstheme="minorHAnsi"/>
                <w:bCs/>
                <w:sz w:val="24"/>
                <w:szCs w:val="24"/>
              </w:rPr>
              <w:t xml:space="preserve">proposed </w:t>
            </w:r>
            <w:r>
              <w:rPr>
                <w:rFonts w:cstheme="minorHAnsi"/>
                <w:bCs/>
                <w:sz w:val="24"/>
                <w:szCs w:val="24"/>
              </w:rPr>
              <w:t>modifications</w:t>
            </w:r>
            <w:r w:rsidRPr="00602B78">
              <w:rPr>
                <w:rFonts w:cstheme="minorHAnsi"/>
                <w:bCs/>
                <w:sz w:val="24"/>
                <w:szCs w:val="24"/>
              </w:rPr>
              <w:t>:</w:t>
            </w:r>
          </w:p>
          <w:p w:rsidR="00602B78" w:rsidRDefault="00866C48" w:rsidP="00602B78">
            <w:pPr>
              <w:pStyle w:val="ListParagraph"/>
              <w:numPr>
                <w:ilvl w:val="0"/>
                <w:numId w:val="5"/>
              </w:numPr>
              <w:rPr>
                <w:rFonts w:cstheme="minorHAnsi"/>
                <w:bCs/>
                <w:sz w:val="24"/>
                <w:szCs w:val="24"/>
              </w:rPr>
            </w:pPr>
            <w:r w:rsidRPr="00602B78">
              <w:rPr>
                <w:rFonts w:cstheme="minorHAnsi"/>
                <w:bCs/>
                <w:sz w:val="24"/>
                <w:szCs w:val="24"/>
              </w:rPr>
              <w:t xml:space="preserve">with respect to </w:t>
            </w:r>
            <w:r w:rsidR="00602B78">
              <w:rPr>
                <w:rFonts w:cstheme="minorHAnsi"/>
                <w:bCs/>
                <w:sz w:val="24"/>
                <w:szCs w:val="24"/>
              </w:rPr>
              <w:t xml:space="preserve">to </w:t>
            </w:r>
            <w:r w:rsidRPr="00602B78">
              <w:rPr>
                <w:rFonts w:cstheme="minorHAnsi"/>
                <w:bCs/>
                <w:sz w:val="24"/>
                <w:szCs w:val="24"/>
              </w:rPr>
              <w:t>No.1.1</w:t>
            </w:r>
            <w:r w:rsidR="00490383">
              <w:rPr>
                <w:rFonts w:cstheme="minorHAnsi"/>
                <w:bCs/>
                <w:sz w:val="24"/>
                <w:szCs w:val="24"/>
              </w:rPr>
              <w:t>.</w:t>
            </w:r>
            <w:r w:rsidRPr="00602B78">
              <w:rPr>
                <w:rFonts w:cstheme="minorHAnsi"/>
                <w:bCs/>
                <w:sz w:val="24"/>
                <w:szCs w:val="24"/>
              </w:rPr>
              <w:t>5 and Annex 3</w:t>
            </w:r>
            <w:r w:rsidR="00602B78">
              <w:rPr>
                <w:rFonts w:cstheme="minorHAnsi"/>
                <w:bCs/>
                <w:sz w:val="24"/>
                <w:szCs w:val="24"/>
              </w:rPr>
              <w:t xml:space="preserve">, Canada, Iran, Egypt, Saudi Arabia, Ghana and South Sudan disagreed with the proposal </w:t>
            </w:r>
            <w:r w:rsidR="00602B78" w:rsidRPr="00602B78">
              <w:rPr>
                <w:rFonts w:cstheme="minorHAnsi"/>
                <w:bCs/>
                <w:sz w:val="24"/>
                <w:szCs w:val="24"/>
              </w:rPr>
              <w:t>to change the Word “should” to “shall”</w:t>
            </w:r>
            <w:r w:rsidR="00602B78">
              <w:rPr>
                <w:rFonts w:cstheme="minorHAnsi"/>
                <w:bCs/>
                <w:sz w:val="24"/>
                <w:szCs w:val="24"/>
              </w:rPr>
              <w:t>;</w:t>
            </w:r>
          </w:p>
          <w:p w:rsidR="00602B78" w:rsidRDefault="00490383" w:rsidP="00602B78">
            <w:pPr>
              <w:pStyle w:val="ListParagraph"/>
              <w:numPr>
                <w:ilvl w:val="0"/>
                <w:numId w:val="5"/>
              </w:numPr>
              <w:rPr>
                <w:rFonts w:cstheme="minorHAnsi"/>
                <w:bCs/>
                <w:sz w:val="24"/>
                <w:szCs w:val="24"/>
              </w:rPr>
            </w:pPr>
            <w:r>
              <w:rPr>
                <w:rFonts w:cstheme="minorHAnsi"/>
                <w:bCs/>
                <w:sz w:val="24"/>
                <w:szCs w:val="24"/>
              </w:rPr>
              <w:t xml:space="preserve">with respect to No. 1.1.7, 1.1.8 and 1.1.9, Egypt, Iran do not agree to </w:t>
            </w:r>
            <w:r w:rsidR="00AF7071">
              <w:rPr>
                <w:rFonts w:cstheme="minorHAnsi"/>
                <w:bCs/>
                <w:sz w:val="24"/>
                <w:szCs w:val="24"/>
              </w:rPr>
              <w:t>transfer</w:t>
            </w:r>
            <w:r>
              <w:rPr>
                <w:rFonts w:cstheme="minorHAnsi"/>
                <w:bCs/>
                <w:sz w:val="24"/>
                <w:szCs w:val="24"/>
              </w:rPr>
              <w:t xml:space="preserve"> these provisions from “</w:t>
            </w:r>
            <w:r w:rsidRPr="00490383">
              <w:rPr>
                <w:rFonts w:cstheme="minorHAnsi"/>
                <w:bCs/>
                <w:i/>
                <w:sz w:val="24"/>
                <w:szCs w:val="24"/>
              </w:rPr>
              <w:t>Resolves</w:t>
            </w:r>
            <w:r>
              <w:rPr>
                <w:rFonts w:cstheme="minorHAnsi"/>
                <w:bCs/>
                <w:i/>
                <w:sz w:val="24"/>
                <w:szCs w:val="24"/>
              </w:rPr>
              <w:t>”</w:t>
            </w:r>
            <w:r>
              <w:rPr>
                <w:rFonts w:cstheme="minorHAnsi"/>
                <w:bCs/>
                <w:sz w:val="24"/>
                <w:szCs w:val="24"/>
              </w:rPr>
              <w:t xml:space="preserve"> part to “Noting” Part.</w:t>
            </w:r>
          </w:p>
          <w:p w:rsidR="00490383" w:rsidRDefault="00490383" w:rsidP="00602B78">
            <w:pPr>
              <w:pStyle w:val="ListParagraph"/>
              <w:numPr>
                <w:ilvl w:val="0"/>
                <w:numId w:val="5"/>
              </w:numPr>
              <w:rPr>
                <w:rFonts w:cstheme="minorHAnsi"/>
                <w:bCs/>
                <w:sz w:val="24"/>
                <w:szCs w:val="24"/>
              </w:rPr>
            </w:pPr>
            <w:r>
              <w:rPr>
                <w:rFonts w:cstheme="minorHAnsi"/>
                <w:bCs/>
                <w:sz w:val="24"/>
                <w:szCs w:val="24"/>
              </w:rPr>
              <w:t>With repsect to “Note” under section of 3.2 relating to Control and monitoring of ESIMs, Iran highlighted on this Note and disagreed to delete the Note.</w:t>
            </w:r>
          </w:p>
          <w:p w:rsidR="00D85381" w:rsidRDefault="00D85381" w:rsidP="00602B78">
            <w:pPr>
              <w:pStyle w:val="ListParagraph"/>
              <w:numPr>
                <w:ilvl w:val="0"/>
                <w:numId w:val="5"/>
              </w:numPr>
              <w:rPr>
                <w:rFonts w:cstheme="minorHAnsi"/>
                <w:bCs/>
                <w:sz w:val="24"/>
                <w:szCs w:val="24"/>
              </w:rPr>
            </w:pPr>
            <w:r>
              <w:rPr>
                <w:rFonts w:cstheme="minorHAnsi"/>
                <w:bCs/>
                <w:sz w:val="24"/>
                <w:szCs w:val="24"/>
              </w:rPr>
              <w:t xml:space="preserve">With respect to Options, Some countries prefer Option 2, others object assignments recorded under 6.25 of the Appendix. </w:t>
            </w:r>
          </w:p>
          <w:p w:rsidR="00F73F06" w:rsidRDefault="00D85381" w:rsidP="00F73F06">
            <w:pPr>
              <w:pStyle w:val="ListParagraph"/>
              <w:numPr>
                <w:ilvl w:val="0"/>
                <w:numId w:val="5"/>
              </w:numPr>
              <w:rPr>
                <w:rFonts w:cstheme="minorHAnsi"/>
                <w:bCs/>
                <w:sz w:val="24"/>
                <w:szCs w:val="24"/>
              </w:rPr>
            </w:pPr>
            <w:r>
              <w:rPr>
                <w:rFonts w:cstheme="minorHAnsi"/>
                <w:bCs/>
                <w:sz w:val="24"/>
                <w:szCs w:val="24"/>
              </w:rPr>
              <w:t>Some comment</w:t>
            </w:r>
            <w:r w:rsidR="00F26F3E">
              <w:rPr>
                <w:rFonts w:cstheme="minorHAnsi"/>
                <w:bCs/>
                <w:sz w:val="24"/>
                <w:szCs w:val="24"/>
              </w:rPr>
              <w:t>s and questions have been made for presented documents</w:t>
            </w:r>
          </w:p>
          <w:p w:rsidR="0094668D" w:rsidRDefault="00713510" w:rsidP="00F73F06">
            <w:pPr>
              <w:rPr>
                <w:rFonts w:cstheme="minorHAnsi"/>
                <w:bCs/>
                <w:sz w:val="24"/>
                <w:szCs w:val="24"/>
              </w:rPr>
            </w:pPr>
            <w:r>
              <w:rPr>
                <w:rFonts w:cstheme="minorHAnsi"/>
                <w:bCs/>
                <w:sz w:val="24"/>
                <w:szCs w:val="24"/>
              </w:rPr>
              <w:t>Four</w:t>
            </w:r>
            <w:r w:rsidR="00F73F06">
              <w:rPr>
                <w:rFonts w:cstheme="minorHAnsi"/>
                <w:bCs/>
                <w:sz w:val="24"/>
                <w:szCs w:val="24"/>
              </w:rPr>
              <w:t xml:space="preserve"> </w:t>
            </w:r>
            <w:r w:rsidR="00445D81">
              <w:rPr>
                <w:rFonts w:cstheme="minorHAnsi"/>
                <w:bCs/>
                <w:sz w:val="24"/>
                <w:szCs w:val="24"/>
              </w:rPr>
              <w:t>other</w:t>
            </w:r>
            <w:r w:rsidR="00F73F06">
              <w:rPr>
                <w:rFonts w:cstheme="minorHAnsi"/>
                <w:bCs/>
                <w:sz w:val="24"/>
                <w:szCs w:val="24"/>
              </w:rPr>
              <w:t xml:space="preserve"> meetings:  SWG-4A AI 1.15</w:t>
            </w:r>
            <w:r w:rsidR="00445D81">
              <w:rPr>
                <w:rFonts w:cstheme="minorHAnsi"/>
                <w:bCs/>
                <w:sz w:val="24"/>
                <w:szCs w:val="24"/>
              </w:rPr>
              <w:t xml:space="preserve"> consider the consolidate document combined all proposed modification of CPM text submitted.</w:t>
            </w:r>
            <w:r w:rsidR="00C63E59">
              <w:rPr>
                <w:rFonts w:cstheme="minorHAnsi"/>
                <w:bCs/>
                <w:sz w:val="24"/>
                <w:szCs w:val="24"/>
              </w:rPr>
              <w:t xml:space="preserve">   SWG-4A AI 1.15 have completed some parts of documents.</w:t>
            </w:r>
          </w:p>
          <w:p w:rsidR="00F73F06" w:rsidRPr="00F73F06" w:rsidRDefault="0094668D" w:rsidP="00F73F06">
            <w:pPr>
              <w:rPr>
                <w:rFonts w:cstheme="minorHAnsi"/>
                <w:bCs/>
                <w:sz w:val="24"/>
                <w:szCs w:val="24"/>
              </w:rPr>
            </w:pPr>
            <w:r>
              <w:rPr>
                <w:rFonts w:cstheme="minorHAnsi"/>
                <w:bCs/>
                <w:sz w:val="24"/>
                <w:szCs w:val="24"/>
              </w:rPr>
              <w:t xml:space="preserve">Due to complexity of this AI, APT members are encouraged to following the drafting groups. </w:t>
            </w:r>
            <w:r w:rsidR="00445D81">
              <w:rPr>
                <w:rFonts w:cstheme="minorHAnsi"/>
                <w:bCs/>
                <w:sz w:val="24"/>
                <w:szCs w:val="24"/>
              </w:rPr>
              <w:t xml:space="preserve">  </w:t>
            </w:r>
          </w:p>
          <w:p w:rsidR="00C63E59" w:rsidRDefault="0094668D" w:rsidP="00F73F06">
            <w:pPr>
              <w:rPr>
                <w:sz w:val="24"/>
              </w:rPr>
            </w:pPr>
            <w:r w:rsidRPr="0094668D">
              <w:rPr>
                <w:sz w:val="24"/>
              </w:rPr>
              <w:t>In order to facilite the work of AI 1.15, AI 1.1</w:t>
            </w:r>
            <w:r w:rsidR="00C63E59">
              <w:rPr>
                <w:sz w:val="24"/>
              </w:rPr>
              <w:t xml:space="preserve">6 due to nature of these agenda items having similar problems, the meeting established </w:t>
            </w:r>
            <w:r w:rsidR="00C63E59" w:rsidRPr="0094668D">
              <w:rPr>
                <w:b/>
                <w:sz w:val="24"/>
              </w:rPr>
              <w:t xml:space="preserve"> </w:t>
            </w:r>
            <w:r w:rsidR="00C63E59" w:rsidRPr="00C63E59">
              <w:rPr>
                <w:sz w:val="24"/>
              </w:rPr>
              <w:t>Joint SWG-4A (a.i. 1.15) and 4B (a.i. 1.16)</w:t>
            </w:r>
            <w:r w:rsidR="00C63E59">
              <w:rPr>
                <w:sz w:val="24"/>
              </w:rPr>
              <w:t xml:space="preserve">. </w:t>
            </w:r>
          </w:p>
          <w:p w:rsidR="00866C48" w:rsidRPr="00F73F06" w:rsidRDefault="0094668D" w:rsidP="00F73F06">
            <w:pPr>
              <w:rPr>
                <w:rFonts w:cstheme="minorHAnsi"/>
                <w:b/>
                <w:bCs/>
                <w:sz w:val="24"/>
                <w:szCs w:val="24"/>
              </w:rPr>
            </w:pPr>
            <w:r w:rsidRPr="0094668D">
              <w:rPr>
                <w:b/>
                <w:sz w:val="24"/>
              </w:rPr>
              <w:t>Joint SWG-4A (a.i. 1.15) and 4B (a.i. 1.16)</w:t>
            </w:r>
            <w:r w:rsidR="00C63E59">
              <w:rPr>
                <w:rFonts w:cstheme="minorHAnsi"/>
                <w:b/>
                <w:bCs/>
                <w:sz w:val="24"/>
                <w:szCs w:val="24"/>
              </w:rPr>
              <w:t xml:space="preserve"> met fourth times to consider:</w:t>
            </w:r>
          </w:p>
          <w:p w:rsidR="00F73F06" w:rsidRPr="00C63E59" w:rsidRDefault="00C63E59" w:rsidP="00C63E59">
            <w:pPr>
              <w:pStyle w:val="ListParagraph"/>
              <w:numPr>
                <w:ilvl w:val="0"/>
                <w:numId w:val="5"/>
              </w:numPr>
              <w:rPr>
                <w:rFonts w:cstheme="minorHAnsi"/>
                <w:bCs/>
                <w:sz w:val="16"/>
                <w:szCs w:val="24"/>
              </w:rPr>
            </w:pPr>
            <w:r w:rsidRPr="00C63E59">
              <w:rPr>
                <w:sz w:val="24"/>
              </w:rPr>
              <w:t xml:space="preserve">Proposed </w:t>
            </w:r>
            <w:r w:rsidRPr="00C63E59">
              <w:rPr>
                <w:i/>
                <w:sz w:val="24"/>
              </w:rPr>
              <w:t xml:space="preserve">resolves </w:t>
            </w:r>
            <w:r w:rsidRPr="00C63E59">
              <w:rPr>
                <w:sz w:val="24"/>
              </w:rPr>
              <w:t>on responsibilities of administrations for the operations of ESIMs;</w:t>
            </w:r>
          </w:p>
          <w:p w:rsidR="00C63E59" w:rsidRPr="00C63E59" w:rsidRDefault="00C63E59" w:rsidP="00C63E59">
            <w:pPr>
              <w:pStyle w:val="ListParagraph"/>
              <w:numPr>
                <w:ilvl w:val="0"/>
                <w:numId w:val="5"/>
              </w:numPr>
              <w:rPr>
                <w:rFonts w:cstheme="minorHAnsi"/>
                <w:bCs/>
                <w:sz w:val="16"/>
                <w:szCs w:val="24"/>
              </w:rPr>
            </w:pPr>
            <w:r w:rsidRPr="00C63E59">
              <w:rPr>
                <w:sz w:val="24"/>
              </w:rPr>
              <w:t xml:space="preserve">Proposed </w:t>
            </w:r>
            <w:r w:rsidRPr="00C63E59">
              <w:rPr>
                <w:i/>
                <w:sz w:val="24"/>
              </w:rPr>
              <w:t xml:space="preserve">resolves </w:t>
            </w:r>
            <w:r w:rsidRPr="00C63E59">
              <w:rPr>
                <w:sz w:val="24"/>
              </w:rPr>
              <w:t>on technical and operational requirements of ESIMs to prevent interference from occurring;</w:t>
            </w:r>
          </w:p>
          <w:p w:rsidR="00C63E59" w:rsidRPr="00C63E59" w:rsidRDefault="00C63E59" w:rsidP="00C63E59">
            <w:pPr>
              <w:pStyle w:val="ListParagraph"/>
              <w:numPr>
                <w:ilvl w:val="0"/>
                <w:numId w:val="5"/>
              </w:numPr>
              <w:rPr>
                <w:rFonts w:cstheme="minorHAnsi"/>
                <w:bCs/>
                <w:sz w:val="16"/>
                <w:szCs w:val="24"/>
              </w:rPr>
            </w:pPr>
            <w:r w:rsidRPr="00C63E59">
              <w:rPr>
                <w:sz w:val="24"/>
              </w:rPr>
              <w:t>Proposed CPM text to describe the interference management capabilities and procedures applicable to ESIMs.</w:t>
            </w:r>
          </w:p>
          <w:p w:rsidR="00C63E59" w:rsidRPr="00713510" w:rsidRDefault="00C63E59" w:rsidP="00C63E59">
            <w:pPr>
              <w:rPr>
                <w:rFonts w:cstheme="minorHAnsi"/>
                <w:bCs/>
                <w:sz w:val="16"/>
                <w:szCs w:val="24"/>
              </w:rPr>
            </w:pPr>
          </w:p>
        </w:tc>
      </w:tr>
      <w:tr w:rsidR="007E7577" w:rsidRPr="00D93A66" w:rsidTr="00D11CA0">
        <w:tc>
          <w:tcPr>
            <w:tcW w:w="11177" w:type="dxa"/>
            <w:gridSpan w:val="15"/>
          </w:tcPr>
          <w:p w:rsidR="007E7577" w:rsidRPr="0077095D" w:rsidRDefault="007E7577" w:rsidP="00D93A66">
            <w:pPr>
              <w:jc w:val="center"/>
              <w:rPr>
                <w:rFonts w:cstheme="minorHAnsi"/>
                <w:bCs/>
                <w:sz w:val="24"/>
                <w:szCs w:val="24"/>
              </w:rPr>
            </w:pPr>
          </w:p>
        </w:tc>
      </w:tr>
      <w:tr w:rsidR="007E7577" w:rsidRPr="00D93A66" w:rsidTr="00D11CA0">
        <w:tc>
          <w:tcPr>
            <w:tcW w:w="11177" w:type="dxa"/>
            <w:gridSpan w:val="15"/>
          </w:tcPr>
          <w:p w:rsidR="007E7577" w:rsidRPr="007E7577" w:rsidRDefault="007E7577" w:rsidP="006C7438">
            <w:pPr>
              <w:pStyle w:val="ListParagraph"/>
              <w:numPr>
                <w:ilvl w:val="0"/>
                <w:numId w:val="4"/>
              </w:numPr>
              <w:jc w:val="left"/>
              <w:rPr>
                <w:rFonts w:cstheme="minorHAnsi"/>
                <w:bCs/>
                <w:sz w:val="24"/>
                <w:szCs w:val="24"/>
              </w:rPr>
            </w:pPr>
            <w:r w:rsidRPr="007E7577">
              <w:rPr>
                <w:rFonts w:cstheme="minorHAnsi"/>
                <w:b/>
                <w:sz w:val="28"/>
                <w:szCs w:val="28"/>
              </w:rPr>
              <w:t xml:space="preserve">Issue(s) which require </w:t>
            </w:r>
            <w:r w:rsidR="006C7438" w:rsidRPr="007E7577">
              <w:rPr>
                <w:rFonts w:cstheme="minorHAnsi"/>
                <w:b/>
                <w:sz w:val="28"/>
                <w:szCs w:val="28"/>
              </w:rPr>
              <w:t>discussion and</w:t>
            </w:r>
            <w:r w:rsidR="00B7472C">
              <w:rPr>
                <w:rFonts w:cstheme="minorHAnsi"/>
                <w:b/>
                <w:sz w:val="28"/>
                <w:szCs w:val="28"/>
              </w:rPr>
              <w:t xml:space="preserve"> </w:t>
            </w:r>
            <w:r w:rsidR="006C7438" w:rsidRPr="007E7577">
              <w:rPr>
                <w:rFonts w:cstheme="minorHAnsi"/>
                <w:b/>
                <w:sz w:val="28"/>
                <w:szCs w:val="28"/>
              </w:rPr>
              <w:t xml:space="preserve">further guidance </w:t>
            </w:r>
            <w:r w:rsidRPr="007E7577">
              <w:rPr>
                <w:rFonts w:cstheme="minorHAnsi"/>
                <w:b/>
                <w:sz w:val="28"/>
                <w:szCs w:val="28"/>
              </w:rPr>
              <w:t xml:space="preserve">at APG Coordination meeting </w:t>
            </w:r>
          </w:p>
        </w:tc>
      </w:tr>
      <w:tr w:rsidR="007E7577" w:rsidRPr="00D93A66" w:rsidTr="00D11CA0">
        <w:tc>
          <w:tcPr>
            <w:tcW w:w="11177" w:type="dxa"/>
            <w:gridSpan w:val="15"/>
          </w:tcPr>
          <w:p w:rsidR="007E7577" w:rsidRPr="0077095D" w:rsidRDefault="007E7577" w:rsidP="00C61C3A">
            <w:pPr>
              <w:jc w:val="center"/>
              <w:rPr>
                <w:rFonts w:cstheme="minorHAnsi"/>
                <w:bCs/>
                <w:sz w:val="24"/>
                <w:szCs w:val="24"/>
              </w:rPr>
            </w:pPr>
            <w:r w:rsidRPr="0077095D">
              <w:rPr>
                <w:rFonts w:cstheme="minorHAnsi"/>
                <w:bCs/>
                <w:sz w:val="24"/>
                <w:szCs w:val="24"/>
              </w:rPr>
              <w:t>[if any]</w:t>
            </w:r>
          </w:p>
        </w:tc>
      </w:tr>
    </w:tbl>
    <w:p w:rsidR="009977D0" w:rsidRDefault="009977D0"/>
    <w:p w:rsidR="00D93A66" w:rsidRPr="00473725" w:rsidRDefault="00D93A66" w:rsidP="00A44E05">
      <w:pPr>
        <w:pStyle w:val="ListParagraph"/>
        <w:widowControl/>
        <w:wordWrap/>
        <w:autoSpaceDE/>
        <w:autoSpaceDN/>
        <w:spacing w:before="120" w:after="0" w:line="264" w:lineRule="auto"/>
        <w:ind w:left="1440"/>
        <w:jc w:val="left"/>
        <w:rPr>
          <w:rFonts w:ascii="Times New Roman" w:eastAsia="BatangChe" w:hAnsi="Times New Roman" w:cs="Times New Roman"/>
          <w:color w:val="000000"/>
          <w:kern w:val="0"/>
          <w:sz w:val="24"/>
          <w:lang w:val="en-NZ" w:eastAsia="en-US"/>
        </w:rPr>
      </w:pPr>
    </w:p>
    <w:sectPr w:rsidR="00D93A66" w:rsidRPr="00473725" w:rsidSect="00B466C9">
      <w:headerReference w:type="even" r:id="rId22"/>
      <w:headerReference w:type="default" r:id="rId23"/>
      <w:footerReference w:type="even" r:id="rId24"/>
      <w:footerReference w:type="default" r:id="rId25"/>
      <w:headerReference w:type="first" r:id="rId26"/>
      <w:footerReference w:type="first" r:id="rId27"/>
      <w:pgSz w:w="11906" w:h="16838"/>
      <w:pgMar w:top="720" w:right="510" w:bottom="720" w:left="5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A21" w:rsidRDefault="00D16A21" w:rsidP="00D93A66">
      <w:pPr>
        <w:spacing w:after="0" w:line="240" w:lineRule="auto"/>
      </w:pPr>
      <w:r>
        <w:separator/>
      </w:r>
    </w:p>
  </w:endnote>
  <w:endnote w:type="continuationSeparator" w:id="1">
    <w:p w:rsidR="00D16A21" w:rsidRDefault="00D16A21" w:rsidP="00D93A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Arial Unicode MS"/>
    <w:charset w:val="81"/>
    <w:family w:val="modern"/>
    <w:pitch w:val="fixed"/>
    <w:sig w:usb0="00000000" w:usb1="69D77CFB" w:usb2="00000030" w:usb3="00000000" w:csb0="0008009F" w:csb1="00000000"/>
  </w:font>
  <w:font w:name="HYMyeongJo-Extra">
    <w:altName w:val="Batang"/>
    <w:charset w:val="81"/>
    <w:family w:val="roman"/>
    <w:pitch w:val="variable"/>
    <w:sig w:usb0="900002A7" w:usb1="29D77CF9" w:usb2="00000010" w:usb3="00000000" w:csb0="00080000" w:csb1="00000000"/>
  </w:font>
  <w:font w:name="Calibri">
    <w:panose1 w:val="020F0502020204030204"/>
    <w:charset w:val="00"/>
    <w:family w:val="swiss"/>
    <w:pitch w:val="variable"/>
    <w:sig w:usb0="E0002AFF" w:usb1="C000247B" w:usb2="00000009" w:usb3="00000000" w:csb0="000001FF" w:csb1="00000000"/>
  </w:font>
  <w:font w:name="游明朝">
    <w:altName w:val="Yu 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JhengHei UI">
    <w:panose1 w:val="020B0604030504040204"/>
    <w:charset w:val="88"/>
    <w:family w:val="swiss"/>
    <w:pitch w:val="variable"/>
    <w:sig w:usb0="000002A7" w:usb1="28CF4400" w:usb2="00000016" w:usb3="00000000" w:csb0="00100009" w:csb1="00000000"/>
  </w:font>
  <w:font w:name="游ゴシック Light">
    <w:altName w:val="MS PMincho"/>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D5" w:rsidRDefault="005462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D5" w:rsidRDefault="005462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D5" w:rsidRDefault="005462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A21" w:rsidRDefault="00D16A21" w:rsidP="00D93A66">
      <w:pPr>
        <w:spacing w:after="0" w:line="240" w:lineRule="auto"/>
      </w:pPr>
      <w:r>
        <w:separator/>
      </w:r>
    </w:p>
  </w:footnote>
  <w:footnote w:type="continuationSeparator" w:id="1">
    <w:p w:rsidR="00D16A21" w:rsidRDefault="00D16A21" w:rsidP="00D93A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D5" w:rsidRDefault="005462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A66" w:rsidRDefault="00D93A66" w:rsidP="00D93A66">
    <w:pPr>
      <w:pStyle w:val="Header"/>
      <w:tabs>
        <w:tab w:val="clear" w:pos="4513"/>
        <w:tab w:val="clear" w:pos="9026"/>
        <w:tab w:val="left" w:pos="3594"/>
      </w:tabs>
      <w:jc w:val="center"/>
      <w:rPr>
        <w:b/>
        <w:bCs/>
        <w:sz w:val="28"/>
        <w:szCs w:val="28"/>
      </w:rPr>
    </w:pPr>
    <w:r w:rsidRPr="002C600C">
      <w:rPr>
        <w:b/>
        <w:bCs/>
        <w:sz w:val="28"/>
        <w:szCs w:val="28"/>
      </w:rPr>
      <w:t xml:space="preserve">Report of the </w:t>
    </w:r>
    <w:r w:rsidR="005462D5">
      <w:rPr>
        <w:b/>
        <w:bCs/>
        <w:sz w:val="28"/>
        <w:szCs w:val="28"/>
      </w:rPr>
      <w:t xml:space="preserve">APT </w:t>
    </w:r>
    <w:r w:rsidRPr="002C600C">
      <w:rPr>
        <w:b/>
        <w:bCs/>
        <w:sz w:val="28"/>
        <w:szCs w:val="28"/>
      </w:rPr>
      <w:t>Agenda Item Coordinator</w:t>
    </w:r>
  </w:p>
  <w:p w:rsidR="00E00EC9" w:rsidRPr="002C600C" w:rsidRDefault="00E00EC9" w:rsidP="00D93A66">
    <w:pPr>
      <w:pStyle w:val="Header"/>
      <w:tabs>
        <w:tab w:val="clear" w:pos="4513"/>
        <w:tab w:val="clear" w:pos="9026"/>
        <w:tab w:val="left" w:pos="3594"/>
      </w:tabs>
      <w:jc w:val="center"/>
      <w:rPr>
        <w:b/>
        <w:bCs/>
        <w:sz w:val="28"/>
        <w:szCs w:val="28"/>
      </w:rPr>
    </w:pPr>
    <w:r>
      <w:rPr>
        <w:b/>
        <w:bCs/>
        <w:sz w:val="28"/>
        <w:szCs w:val="28"/>
      </w:rPr>
      <w:t>CPM23-2</w:t>
    </w:r>
  </w:p>
  <w:p w:rsidR="00D93A66" w:rsidRDefault="00D93A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2D5" w:rsidRDefault="005462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5544B"/>
    <w:multiLevelType w:val="hybridMultilevel"/>
    <w:tmpl w:val="BF361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757C14"/>
    <w:multiLevelType w:val="hybridMultilevel"/>
    <w:tmpl w:val="CEB22FA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B21B0"/>
    <w:multiLevelType w:val="hybridMultilevel"/>
    <w:tmpl w:val="BF361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8FA69E5"/>
    <w:multiLevelType w:val="hybridMultilevel"/>
    <w:tmpl w:val="76948B7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49337883"/>
    <w:multiLevelType w:val="hybridMultilevel"/>
    <w:tmpl w:val="9CC83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FD057A"/>
    <w:multiLevelType w:val="hybridMultilevel"/>
    <w:tmpl w:val="A4700946"/>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2E15D6"/>
    <w:multiLevelType w:val="hybridMultilevel"/>
    <w:tmpl w:val="A9CA299E"/>
    <w:lvl w:ilvl="0" w:tplc="991C45F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7">
    <w:nsid w:val="5D50178E"/>
    <w:multiLevelType w:val="hybridMultilevel"/>
    <w:tmpl w:val="C8F01234"/>
    <w:lvl w:ilvl="0" w:tplc="C34A9F36">
      <w:start w:val="1"/>
      <w:numFmt w:val="bullet"/>
      <w:lvlText w:val="-"/>
      <w:lvlJc w:val="left"/>
      <w:pPr>
        <w:ind w:left="720" w:hanging="360"/>
      </w:pPr>
      <w:rPr>
        <w:rFonts w:ascii="Times New Roman" w:eastAsia="HYMyeongJo-Extr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9B4C5A"/>
    <w:multiLevelType w:val="hybridMultilevel"/>
    <w:tmpl w:val="E82807FC"/>
    <w:lvl w:ilvl="0" w:tplc="CD92DC88">
      <w:start w:val="5"/>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1EC6584"/>
    <w:multiLevelType w:val="hybridMultilevel"/>
    <w:tmpl w:val="9A7E5440"/>
    <w:lvl w:ilvl="0" w:tplc="9E56D3E6">
      <w:start w:val="1"/>
      <w:numFmt w:val="decimal"/>
      <w:lvlText w:val="%1."/>
      <w:lvlJc w:val="left"/>
      <w:pPr>
        <w:ind w:left="36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652278C"/>
    <w:multiLevelType w:val="hybridMultilevel"/>
    <w:tmpl w:val="A5CA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D509A6"/>
    <w:multiLevelType w:val="hybridMultilevel"/>
    <w:tmpl w:val="B7EAFF1A"/>
    <w:lvl w:ilvl="0" w:tplc="F31E8C60">
      <w:start w:val="1"/>
      <w:numFmt w:val="bullet"/>
      <w:lvlText w:val="-"/>
      <w:lvlJc w:val="left"/>
      <w:pPr>
        <w:ind w:left="720"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E3798A"/>
    <w:multiLevelType w:val="hybridMultilevel"/>
    <w:tmpl w:val="9E5A535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EB07F0"/>
    <w:multiLevelType w:val="hybridMultilevel"/>
    <w:tmpl w:val="59AA5DB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6"/>
  </w:num>
  <w:num w:numId="6">
    <w:abstractNumId w:val="10"/>
  </w:num>
  <w:num w:numId="7">
    <w:abstractNumId w:val="3"/>
  </w:num>
  <w:num w:numId="8">
    <w:abstractNumId w:val="12"/>
  </w:num>
  <w:num w:numId="9">
    <w:abstractNumId w:val="1"/>
  </w:num>
  <w:num w:numId="10">
    <w:abstractNumId w:val="11"/>
  </w:num>
  <w:num w:numId="11">
    <w:abstractNumId w:val="7"/>
  </w:num>
  <w:num w:numId="12">
    <w:abstractNumId w:val="5"/>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D93A66"/>
    <w:rsid w:val="00057D04"/>
    <w:rsid w:val="0013733C"/>
    <w:rsid w:val="00190140"/>
    <w:rsid w:val="00274C9F"/>
    <w:rsid w:val="002B0CE6"/>
    <w:rsid w:val="00445D81"/>
    <w:rsid w:val="00473725"/>
    <w:rsid w:val="00480F4C"/>
    <w:rsid w:val="00490383"/>
    <w:rsid w:val="004919B7"/>
    <w:rsid w:val="005462D5"/>
    <w:rsid w:val="0055758B"/>
    <w:rsid w:val="00580AA6"/>
    <w:rsid w:val="005E5CFA"/>
    <w:rsid w:val="00602B78"/>
    <w:rsid w:val="006C7438"/>
    <w:rsid w:val="00713510"/>
    <w:rsid w:val="0077095D"/>
    <w:rsid w:val="007B1BAE"/>
    <w:rsid w:val="007D0003"/>
    <w:rsid w:val="007E7577"/>
    <w:rsid w:val="00866C48"/>
    <w:rsid w:val="00896889"/>
    <w:rsid w:val="008B0205"/>
    <w:rsid w:val="0094668D"/>
    <w:rsid w:val="009749B6"/>
    <w:rsid w:val="009977D0"/>
    <w:rsid w:val="00A44E05"/>
    <w:rsid w:val="00A62376"/>
    <w:rsid w:val="00A851A4"/>
    <w:rsid w:val="00AF7071"/>
    <w:rsid w:val="00B16274"/>
    <w:rsid w:val="00B466C9"/>
    <w:rsid w:val="00B7472C"/>
    <w:rsid w:val="00BF34D4"/>
    <w:rsid w:val="00C56CCB"/>
    <w:rsid w:val="00C61C3A"/>
    <w:rsid w:val="00C63D90"/>
    <w:rsid w:val="00C63E59"/>
    <w:rsid w:val="00C91AAA"/>
    <w:rsid w:val="00CD1796"/>
    <w:rsid w:val="00D11CA0"/>
    <w:rsid w:val="00D16A21"/>
    <w:rsid w:val="00D54C60"/>
    <w:rsid w:val="00D85381"/>
    <w:rsid w:val="00D93A66"/>
    <w:rsid w:val="00DB196F"/>
    <w:rsid w:val="00E00EC9"/>
    <w:rsid w:val="00EE63D6"/>
    <w:rsid w:val="00F26F3E"/>
    <w:rsid w:val="00F64043"/>
    <w:rsid w:val="00F73F06"/>
    <w:rsid w:val="00FE6D2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66"/>
    <w:pPr>
      <w:widowControl w:val="0"/>
      <w:wordWrap w:val="0"/>
      <w:autoSpaceDE w:val="0"/>
      <w:autoSpaceDN w:val="0"/>
      <w:jc w:val="both"/>
    </w:pPr>
    <w:rPr>
      <w:rFonts w:eastAsiaTheme="minorEastAsia"/>
      <w:kern w:val="2"/>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HeaderChar">
    <w:name w:val="Header Char"/>
    <w:basedOn w:val="DefaultParagraphFont"/>
    <w:link w:val="Header"/>
    <w:uiPriority w:val="99"/>
    <w:rsid w:val="00D93A66"/>
  </w:style>
  <w:style w:type="paragraph" w:styleId="Footer">
    <w:name w:val="footer"/>
    <w:basedOn w:val="Normal"/>
    <w:link w:val="FooterChar"/>
    <w:uiPriority w:val="99"/>
    <w:unhideWhenUsed/>
    <w:rsid w:val="00D93A66"/>
    <w:pPr>
      <w:widowControl/>
      <w:tabs>
        <w:tab w:val="center" w:pos="4513"/>
        <w:tab w:val="right" w:pos="9026"/>
      </w:tabs>
      <w:wordWrap/>
      <w:autoSpaceDE/>
      <w:autoSpaceDN/>
      <w:spacing w:after="0" w:line="240" w:lineRule="auto"/>
      <w:jc w:val="left"/>
    </w:pPr>
    <w:rPr>
      <w:rFonts w:eastAsiaTheme="minorHAnsi"/>
      <w:kern w:val="0"/>
      <w:sz w:val="22"/>
      <w:lang w:val="en-AU" w:eastAsia="en-US"/>
    </w:rPr>
  </w:style>
  <w:style w:type="character" w:customStyle="1" w:styleId="FooterChar">
    <w:name w:val="Footer Char"/>
    <w:basedOn w:val="DefaultParagraphFont"/>
    <w:link w:val="Footer"/>
    <w:uiPriority w:val="99"/>
    <w:rsid w:val="00D93A66"/>
  </w:style>
  <w:style w:type="table" w:styleId="TableGrid">
    <w:name w:val="Table Grid"/>
    <w:basedOn w:val="TableNormal"/>
    <w:uiPriority w:val="39"/>
    <w:rsid w:val="00D93A66"/>
    <w:pPr>
      <w:spacing w:after="0" w:line="240" w:lineRule="auto"/>
      <w:jc w:val="both"/>
    </w:pPr>
    <w:rPr>
      <w:rFonts w:eastAsiaTheme="minorEastAsia"/>
      <w:kern w:val="2"/>
      <w:sz w:val="20"/>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095D"/>
    <w:pPr>
      <w:ind w:left="720"/>
      <w:contextualSpacing/>
    </w:pPr>
  </w:style>
  <w:style w:type="paragraph" w:styleId="BalloonText">
    <w:name w:val="Balloon Text"/>
    <w:basedOn w:val="Normal"/>
    <w:link w:val="BalloonTextChar"/>
    <w:uiPriority w:val="99"/>
    <w:semiHidden/>
    <w:unhideWhenUsed/>
    <w:rsid w:val="00D85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381"/>
    <w:rPr>
      <w:rFonts w:ascii="Tahoma" w:eastAsiaTheme="minorEastAsia" w:hAnsi="Tahoma" w:cs="Tahoma"/>
      <w:kern w:val="2"/>
      <w:sz w:val="16"/>
      <w:szCs w:val="16"/>
      <w:lang w:val="en-US" w:eastAsia="ko-KR"/>
    </w:rPr>
  </w:style>
  <w:style w:type="character" w:styleId="Hyperlink">
    <w:name w:val="Hyperlink"/>
    <w:basedOn w:val="DefaultParagraphFont"/>
    <w:uiPriority w:val="99"/>
    <w:unhideWhenUsed/>
    <w:rsid w:val="00F26F3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tanaik.mr@gov.in" TargetMode="External"/><Relationship Id="rId13" Type="http://schemas.openxmlformats.org/officeDocument/2006/relationships/hyperlink" Target="https://www.itu.int/md/R19-CPM23.2-C-0063/en" TargetMode="External"/><Relationship Id="rId18" Type="http://schemas.openxmlformats.org/officeDocument/2006/relationships/hyperlink" Target="https://www.itu.int/md/R19-CPM23.2-C-0169/en"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extranet.itu.int/rsg-meetings/cpm/_layouts/15/WopiFrame.aspx?sourcedoc=%7B4CC60AC2-C5F6-4681-A4DC-E58D3AA5A76D%7D&amp;file=MEX%20Contribution%20-%20CPM23-2%20AI%201.15.docx&amp;action=default" TargetMode="External"/><Relationship Id="rId7" Type="http://schemas.openxmlformats.org/officeDocument/2006/relationships/hyperlink" Target="mailto:chengfenhong@chinasatcom.com" TargetMode="External"/><Relationship Id="rId12" Type="http://schemas.openxmlformats.org/officeDocument/2006/relationships/hyperlink" Target="https://www.itu.int/md/R19-CPM23.2-C-0036/en" TargetMode="External"/><Relationship Id="rId17" Type="http://schemas.openxmlformats.org/officeDocument/2006/relationships/hyperlink" Target="https://www.itu.int/md/R19-CPM23.2-C-0137/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md/R19-CPM23.2-C-0127/en" TargetMode="External"/><Relationship Id="rId20" Type="http://schemas.openxmlformats.org/officeDocument/2006/relationships/hyperlink" Target="https://www.itu.int/md/R19-CPM23.2-C-0218/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9-CPM23.2-C-0016/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R19-CPM23.2-C-0108/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tu.int/md/R19-CPM23.2-C-0002/en" TargetMode="External"/><Relationship Id="rId19" Type="http://schemas.openxmlformats.org/officeDocument/2006/relationships/hyperlink" Target="https://www.itu.int/md/R19-CPM23.2-C-0187/en" TargetMode="External"/><Relationship Id="rId4" Type="http://schemas.openxmlformats.org/officeDocument/2006/relationships/webSettings" Target="webSettings.xml"/><Relationship Id="rId9" Type="http://schemas.openxmlformats.org/officeDocument/2006/relationships/hyperlink" Target="https://www.itu.int/md/R19-CPM23.2-C-0001/en" TargetMode="External"/><Relationship Id="rId14" Type="http://schemas.openxmlformats.org/officeDocument/2006/relationships/hyperlink" Target="https://www.itu.int/md/R19-CPM23.2-C-0072/e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Hose</dc:creator>
  <cp:lastModifiedBy>HTQT</cp:lastModifiedBy>
  <cp:revision>2</cp:revision>
  <dcterms:created xsi:type="dcterms:W3CDTF">2023-04-02T22:28:00Z</dcterms:created>
  <dcterms:modified xsi:type="dcterms:W3CDTF">2023-04-02T22:28:00Z</dcterms:modified>
</cp:coreProperties>
</file>