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80" w:rightFromText="180" w:vertAnchor="page" w:horzAnchor="margin" w:tblpY="1756"/>
        <w:tblW w:w="11052" w:type="dxa"/>
        <w:tblLayout w:type="fixed"/>
        <w:tblLook w:val="04A0" w:firstRow="1" w:lastRow="0" w:firstColumn="1" w:lastColumn="0" w:noHBand="0" w:noVBand="1"/>
      </w:tblPr>
      <w:tblGrid>
        <w:gridCol w:w="1413"/>
        <w:gridCol w:w="143"/>
        <w:gridCol w:w="423"/>
        <w:gridCol w:w="628"/>
        <w:gridCol w:w="350"/>
        <w:gridCol w:w="719"/>
        <w:gridCol w:w="612"/>
        <w:gridCol w:w="1661"/>
        <w:gridCol w:w="1151"/>
        <w:gridCol w:w="142"/>
        <w:gridCol w:w="408"/>
        <w:gridCol w:w="1317"/>
        <w:gridCol w:w="530"/>
        <w:gridCol w:w="1555"/>
      </w:tblGrid>
      <w:tr w:rsidR="0077095D" w:rsidRPr="00D93A66" w14:paraId="1CFED99D" w14:textId="77777777" w:rsidTr="00422F86">
        <w:trPr>
          <w:trHeight w:val="283"/>
        </w:trPr>
        <w:tc>
          <w:tcPr>
            <w:tcW w:w="11052" w:type="dxa"/>
            <w:gridSpan w:val="14"/>
            <w:vAlign w:val="center"/>
          </w:tcPr>
          <w:p w14:paraId="4FA58C29" w14:textId="77777777" w:rsidR="0077095D" w:rsidRPr="006C7438" w:rsidRDefault="0077095D" w:rsidP="006C7438">
            <w:pPr>
              <w:pStyle w:val="a8"/>
              <w:numPr>
                <w:ilvl w:val="0"/>
                <w:numId w:val="4"/>
              </w:numPr>
              <w:jc w:val="left"/>
              <w:rPr>
                <w:rFonts w:cstheme="minorHAnsi"/>
                <w:b/>
                <w:sz w:val="28"/>
                <w:szCs w:val="28"/>
              </w:rPr>
            </w:pPr>
            <w:r w:rsidRPr="006C7438">
              <w:rPr>
                <w:rFonts w:cstheme="minorHAnsi"/>
                <w:b/>
                <w:sz w:val="28"/>
                <w:szCs w:val="28"/>
              </w:rPr>
              <w:t xml:space="preserve">Agenda item </w:t>
            </w:r>
          </w:p>
        </w:tc>
      </w:tr>
      <w:tr w:rsidR="007E7577" w:rsidRPr="00D93A66" w14:paraId="487FA763" w14:textId="77777777" w:rsidTr="00422F86">
        <w:trPr>
          <w:trHeight w:val="694"/>
        </w:trPr>
        <w:tc>
          <w:tcPr>
            <w:tcW w:w="1979" w:type="dxa"/>
            <w:gridSpan w:val="3"/>
            <w:vMerge w:val="restart"/>
            <w:vAlign w:val="center"/>
          </w:tcPr>
          <w:p w14:paraId="77EF11E8" w14:textId="77777777" w:rsidR="007E7577" w:rsidRDefault="007E7577" w:rsidP="00D93A66">
            <w:pPr>
              <w:jc w:val="center"/>
              <w:rPr>
                <w:rFonts w:cstheme="minorHAnsi"/>
                <w:b/>
                <w:sz w:val="28"/>
                <w:szCs w:val="28"/>
              </w:rPr>
            </w:pPr>
            <w:r w:rsidRPr="00D93A66">
              <w:rPr>
                <w:rFonts w:cstheme="minorHAnsi"/>
                <w:b/>
                <w:sz w:val="28"/>
                <w:szCs w:val="28"/>
              </w:rPr>
              <w:t>Agenda Item</w:t>
            </w:r>
          </w:p>
          <w:p w14:paraId="298EE220" w14:textId="2331BC15" w:rsidR="007E7577" w:rsidRPr="005E5CFA" w:rsidRDefault="00FD4A5B" w:rsidP="00D93A66">
            <w:pPr>
              <w:jc w:val="center"/>
              <w:rPr>
                <w:rFonts w:cstheme="minorHAnsi"/>
                <w:bCs/>
                <w:sz w:val="28"/>
                <w:szCs w:val="28"/>
              </w:rPr>
            </w:pPr>
            <w:r>
              <w:rPr>
                <w:rFonts w:cstheme="minorHAnsi"/>
                <w:bCs/>
                <w:sz w:val="28"/>
                <w:szCs w:val="28"/>
              </w:rPr>
              <w:t>1.6</w:t>
            </w:r>
          </w:p>
        </w:tc>
        <w:tc>
          <w:tcPr>
            <w:tcW w:w="9073" w:type="dxa"/>
            <w:gridSpan w:val="11"/>
          </w:tcPr>
          <w:p w14:paraId="6985AE61" w14:textId="7B59A754" w:rsidR="007E7577" w:rsidRPr="00FD4A5B" w:rsidRDefault="00FD4A5B" w:rsidP="00FD4A5B">
            <w:pPr>
              <w:rPr>
                <w:rFonts w:cstheme="minorHAnsi"/>
                <w:bCs/>
                <w:sz w:val="24"/>
                <w:szCs w:val="24"/>
              </w:rPr>
            </w:pPr>
            <w:r w:rsidRPr="00FD4A5B">
              <w:rPr>
                <w:i/>
                <w:sz w:val="24"/>
                <w:szCs w:val="24"/>
                <w:lang w:val="en-NZ"/>
              </w:rPr>
              <w:t xml:space="preserve">To consider, in accordance with Resolution </w:t>
            </w:r>
            <w:r w:rsidRPr="00FD4A5B">
              <w:rPr>
                <w:b/>
                <w:bCs/>
                <w:i/>
                <w:sz w:val="24"/>
                <w:szCs w:val="24"/>
                <w:lang w:val="en-NZ"/>
              </w:rPr>
              <w:t>772 (WRC 19)</w:t>
            </w:r>
            <w:r w:rsidRPr="00FD4A5B">
              <w:rPr>
                <w:i/>
                <w:sz w:val="24"/>
                <w:szCs w:val="24"/>
                <w:lang w:val="en-NZ"/>
              </w:rPr>
              <w:t>, regulatory provisions to facilitate radiocommunications for sub-orbital vehicles</w:t>
            </w:r>
            <w:r>
              <w:rPr>
                <w:i/>
                <w:sz w:val="24"/>
                <w:szCs w:val="24"/>
                <w:lang w:val="en-NZ"/>
              </w:rPr>
              <w:t>.</w:t>
            </w:r>
          </w:p>
        </w:tc>
      </w:tr>
      <w:tr w:rsidR="00422F86" w:rsidRPr="00D93A66" w14:paraId="3888AFB4" w14:textId="77777777" w:rsidTr="00422F86">
        <w:trPr>
          <w:trHeight w:val="283"/>
        </w:trPr>
        <w:tc>
          <w:tcPr>
            <w:tcW w:w="1979" w:type="dxa"/>
            <w:gridSpan w:val="3"/>
            <w:vMerge/>
          </w:tcPr>
          <w:p w14:paraId="64456D3C" w14:textId="77777777" w:rsidR="00D93A66" w:rsidRPr="00D93A66" w:rsidRDefault="00D93A66" w:rsidP="00D93A66">
            <w:pPr>
              <w:jc w:val="center"/>
              <w:rPr>
                <w:rFonts w:cstheme="minorHAnsi"/>
                <w:b/>
                <w:sz w:val="28"/>
                <w:szCs w:val="28"/>
              </w:rPr>
            </w:pPr>
          </w:p>
        </w:tc>
        <w:tc>
          <w:tcPr>
            <w:tcW w:w="2309" w:type="dxa"/>
            <w:gridSpan w:val="4"/>
          </w:tcPr>
          <w:p w14:paraId="567C82B1" w14:textId="77777777" w:rsidR="00D93A66" w:rsidRPr="006C7438" w:rsidRDefault="00D93A66" w:rsidP="00D93A66">
            <w:pPr>
              <w:jc w:val="center"/>
              <w:rPr>
                <w:rFonts w:cstheme="minorHAnsi"/>
                <w:b/>
                <w:sz w:val="24"/>
                <w:szCs w:val="24"/>
              </w:rPr>
            </w:pPr>
            <w:r w:rsidRPr="006C7438">
              <w:rPr>
                <w:rFonts w:cstheme="minorHAnsi"/>
                <w:b/>
                <w:sz w:val="24"/>
                <w:szCs w:val="24"/>
              </w:rPr>
              <w:t>Working Group</w:t>
            </w:r>
          </w:p>
        </w:tc>
        <w:tc>
          <w:tcPr>
            <w:tcW w:w="2812" w:type="dxa"/>
            <w:gridSpan w:val="2"/>
          </w:tcPr>
          <w:p w14:paraId="01AEAFB9" w14:textId="6624C4AC" w:rsidR="00D93A66" w:rsidRPr="006C7438" w:rsidRDefault="00FD4A5B" w:rsidP="00D93A66">
            <w:pPr>
              <w:jc w:val="center"/>
              <w:rPr>
                <w:rFonts w:cstheme="minorHAnsi"/>
                <w:bCs/>
                <w:sz w:val="24"/>
                <w:szCs w:val="24"/>
                <w:lang w:eastAsia="zh-CN"/>
              </w:rPr>
            </w:pPr>
            <w:r>
              <w:rPr>
                <w:rFonts w:cstheme="minorHAnsi" w:hint="eastAsia"/>
                <w:bCs/>
                <w:sz w:val="24"/>
                <w:szCs w:val="24"/>
                <w:lang w:eastAsia="zh-CN"/>
              </w:rPr>
              <w:t>W</w:t>
            </w:r>
            <w:r>
              <w:rPr>
                <w:rFonts w:cstheme="minorHAnsi"/>
                <w:bCs/>
                <w:sz w:val="24"/>
                <w:szCs w:val="24"/>
                <w:lang w:eastAsia="zh-CN"/>
              </w:rPr>
              <w:t>G2</w:t>
            </w:r>
          </w:p>
        </w:tc>
        <w:tc>
          <w:tcPr>
            <w:tcW w:w="1867" w:type="dxa"/>
            <w:gridSpan w:val="3"/>
          </w:tcPr>
          <w:p w14:paraId="25980382" w14:textId="77777777" w:rsidR="00D93A66" w:rsidRPr="006C7438" w:rsidRDefault="00D93A66" w:rsidP="00D93A66">
            <w:pPr>
              <w:jc w:val="center"/>
              <w:rPr>
                <w:rFonts w:cstheme="minorHAnsi"/>
                <w:b/>
                <w:sz w:val="24"/>
                <w:szCs w:val="24"/>
              </w:rPr>
            </w:pPr>
            <w:r w:rsidRPr="006C7438">
              <w:rPr>
                <w:rFonts w:cstheme="minorHAnsi"/>
                <w:b/>
                <w:sz w:val="24"/>
                <w:szCs w:val="24"/>
              </w:rPr>
              <w:t xml:space="preserve">Sub-Working Group </w:t>
            </w:r>
          </w:p>
        </w:tc>
        <w:tc>
          <w:tcPr>
            <w:tcW w:w="2085" w:type="dxa"/>
            <w:gridSpan w:val="2"/>
          </w:tcPr>
          <w:p w14:paraId="53CB47A7" w14:textId="1A19A244" w:rsidR="00D93A66" w:rsidRPr="006C7438" w:rsidRDefault="00FD4A5B" w:rsidP="00D93A66">
            <w:pPr>
              <w:jc w:val="center"/>
              <w:rPr>
                <w:rFonts w:cstheme="minorHAnsi"/>
                <w:bCs/>
                <w:sz w:val="24"/>
                <w:szCs w:val="24"/>
                <w:lang w:eastAsia="zh-CN"/>
              </w:rPr>
            </w:pPr>
            <w:r>
              <w:rPr>
                <w:rFonts w:cstheme="minorHAnsi"/>
                <w:bCs/>
                <w:sz w:val="24"/>
                <w:szCs w:val="24"/>
                <w:lang w:eastAsia="zh-CN"/>
              </w:rPr>
              <w:t>S</w:t>
            </w:r>
            <w:r>
              <w:rPr>
                <w:rFonts w:cstheme="minorHAnsi" w:hint="eastAsia"/>
                <w:bCs/>
                <w:sz w:val="24"/>
                <w:szCs w:val="24"/>
                <w:lang w:eastAsia="zh-CN"/>
              </w:rPr>
              <w:t>W</w:t>
            </w:r>
            <w:r>
              <w:rPr>
                <w:rFonts w:cstheme="minorHAnsi"/>
                <w:bCs/>
                <w:sz w:val="24"/>
                <w:szCs w:val="24"/>
                <w:lang w:eastAsia="zh-CN"/>
              </w:rPr>
              <w:t>G2A</w:t>
            </w:r>
          </w:p>
        </w:tc>
      </w:tr>
      <w:tr w:rsidR="00422F86" w:rsidRPr="00D93A66" w14:paraId="6AD74101" w14:textId="77777777" w:rsidTr="00422F86">
        <w:tc>
          <w:tcPr>
            <w:tcW w:w="1556" w:type="dxa"/>
            <w:gridSpan w:val="2"/>
          </w:tcPr>
          <w:p w14:paraId="6EC964A7" w14:textId="77777777" w:rsidR="00D93A66" w:rsidRPr="00D93A66" w:rsidRDefault="00D93A66" w:rsidP="00D93A66">
            <w:pPr>
              <w:jc w:val="center"/>
              <w:rPr>
                <w:rFonts w:cstheme="minorHAnsi"/>
                <w:b/>
                <w:sz w:val="24"/>
                <w:szCs w:val="24"/>
              </w:rPr>
            </w:pPr>
            <w:r w:rsidRPr="00D93A66">
              <w:rPr>
                <w:rFonts w:cstheme="minorHAnsi"/>
                <w:b/>
                <w:sz w:val="24"/>
                <w:szCs w:val="24"/>
              </w:rPr>
              <w:t>Coordinator</w:t>
            </w:r>
          </w:p>
        </w:tc>
        <w:tc>
          <w:tcPr>
            <w:tcW w:w="4393" w:type="dxa"/>
            <w:gridSpan w:val="6"/>
          </w:tcPr>
          <w:p w14:paraId="3F2759D2" w14:textId="15B4FCF1" w:rsidR="00D93A66" w:rsidRPr="00D93A66" w:rsidRDefault="00FD4A5B" w:rsidP="00D93A66">
            <w:pPr>
              <w:jc w:val="center"/>
              <w:rPr>
                <w:rFonts w:cstheme="minorHAnsi"/>
                <w:bCs/>
                <w:sz w:val="24"/>
                <w:szCs w:val="24"/>
                <w:lang w:eastAsia="zh-CN"/>
              </w:rPr>
            </w:pPr>
            <w:r>
              <w:rPr>
                <w:rFonts w:cstheme="minorHAnsi" w:hint="eastAsia"/>
                <w:bCs/>
                <w:sz w:val="24"/>
                <w:szCs w:val="24"/>
                <w:lang w:eastAsia="zh-CN"/>
              </w:rPr>
              <w:t xml:space="preserve"> </w:t>
            </w:r>
            <w:r>
              <w:rPr>
                <w:rFonts w:cstheme="minorHAnsi"/>
                <w:bCs/>
                <w:sz w:val="24"/>
                <w:szCs w:val="24"/>
                <w:lang w:eastAsia="zh-CN"/>
              </w:rPr>
              <w:t>Tan Wei</w:t>
            </w:r>
          </w:p>
        </w:tc>
        <w:tc>
          <w:tcPr>
            <w:tcW w:w="1293" w:type="dxa"/>
            <w:gridSpan w:val="2"/>
          </w:tcPr>
          <w:p w14:paraId="63ADB091" w14:textId="77777777" w:rsidR="00D93A66" w:rsidRPr="00D93A66" w:rsidRDefault="00D93A66" w:rsidP="00D93A66">
            <w:pPr>
              <w:jc w:val="center"/>
              <w:rPr>
                <w:rFonts w:cstheme="minorHAnsi"/>
                <w:b/>
                <w:sz w:val="24"/>
                <w:szCs w:val="24"/>
              </w:rPr>
            </w:pPr>
            <w:r w:rsidRPr="00D93A66">
              <w:rPr>
                <w:rFonts w:cstheme="minorHAnsi"/>
                <w:b/>
                <w:sz w:val="24"/>
                <w:szCs w:val="24"/>
              </w:rPr>
              <w:t>Email</w:t>
            </w:r>
          </w:p>
        </w:tc>
        <w:tc>
          <w:tcPr>
            <w:tcW w:w="3810" w:type="dxa"/>
            <w:gridSpan w:val="4"/>
          </w:tcPr>
          <w:p w14:paraId="195B9E5E" w14:textId="65AF27ED" w:rsidR="00D93A66" w:rsidRPr="00D93A66" w:rsidRDefault="00FD4A5B" w:rsidP="00D93A66">
            <w:pPr>
              <w:jc w:val="center"/>
              <w:rPr>
                <w:rFonts w:cstheme="minorHAnsi"/>
                <w:bCs/>
                <w:sz w:val="24"/>
                <w:szCs w:val="24"/>
              </w:rPr>
            </w:pPr>
            <w:r>
              <w:rPr>
                <w:rFonts w:cstheme="minorHAnsi"/>
                <w:bCs/>
                <w:sz w:val="24"/>
                <w:szCs w:val="24"/>
              </w:rPr>
              <w:t>tanwei@bittt.cn</w:t>
            </w:r>
          </w:p>
        </w:tc>
      </w:tr>
      <w:tr w:rsidR="00422F86" w:rsidRPr="00D93A66" w14:paraId="6F91CED4" w14:textId="77777777" w:rsidTr="00422F86">
        <w:tc>
          <w:tcPr>
            <w:tcW w:w="1556" w:type="dxa"/>
            <w:gridSpan w:val="2"/>
          </w:tcPr>
          <w:p w14:paraId="5EE5C0CB" w14:textId="77777777" w:rsidR="00E00EC9" w:rsidRPr="00D93A66" w:rsidRDefault="00E00EC9" w:rsidP="00D93A66">
            <w:pPr>
              <w:jc w:val="center"/>
              <w:rPr>
                <w:rFonts w:cstheme="minorHAnsi"/>
                <w:b/>
                <w:sz w:val="24"/>
                <w:szCs w:val="24"/>
              </w:rPr>
            </w:pPr>
            <w:r>
              <w:rPr>
                <w:rFonts w:cstheme="minorHAnsi"/>
                <w:b/>
                <w:sz w:val="24"/>
                <w:szCs w:val="24"/>
              </w:rPr>
              <w:t>WP Chair</w:t>
            </w:r>
          </w:p>
        </w:tc>
        <w:tc>
          <w:tcPr>
            <w:tcW w:w="4393" w:type="dxa"/>
            <w:gridSpan w:val="6"/>
          </w:tcPr>
          <w:p w14:paraId="2F220849" w14:textId="335E98BD" w:rsidR="00E00EC9" w:rsidRPr="00FD4A5B" w:rsidRDefault="00FD4A5B" w:rsidP="00D93A66">
            <w:pPr>
              <w:jc w:val="center"/>
              <w:rPr>
                <w:rFonts w:cstheme="minorHAnsi"/>
                <w:bCs/>
                <w:sz w:val="24"/>
                <w:szCs w:val="24"/>
                <w:lang w:eastAsia="zh-CN"/>
              </w:rPr>
            </w:pPr>
            <w:r w:rsidRPr="00FD4A5B">
              <w:rPr>
                <w:rFonts w:cstheme="minorHAnsi" w:hint="eastAsia"/>
                <w:bCs/>
                <w:sz w:val="24"/>
                <w:szCs w:val="24"/>
                <w:lang w:eastAsia="zh-CN"/>
              </w:rPr>
              <w:t>Bui Ha Long</w:t>
            </w:r>
          </w:p>
        </w:tc>
        <w:tc>
          <w:tcPr>
            <w:tcW w:w="1293" w:type="dxa"/>
            <w:gridSpan w:val="2"/>
          </w:tcPr>
          <w:p w14:paraId="47A49882" w14:textId="77777777" w:rsidR="00E00EC9" w:rsidRPr="00D93A66" w:rsidRDefault="00E00EC9" w:rsidP="00D93A66">
            <w:pPr>
              <w:jc w:val="center"/>
              <w:rPr>
                <w:rFonts w:cstheme="minorHAnsi"/>
                <w:b/>
                <w:sz w:val="24"/>
                <w:szCs w:val="24"/>
              </w:rPr>
            </w:pPr>
            <w:r>
              <w:rPr>
                <w:rFonts w:cstheme="minorHAnsi"/>
                <w:b/>
                <w:sz w:val="24"/>
                <w:szCs w:val="24"/>
              </w:rPr>
              <w:t>Email</w:t>
            </w:r>
          </w:p>
        </w:tc>
        <w:tc>
          <w:tcPr>
            <w:tcW w:w="3810" w:type="dxa"/>
            <w:gridSpan w:val="4"/>
          </w:tcPr>
          <w:p w14:paraId="107B91B7" w14:textId="459DDBC5" w:rsidR="00E00EC9" w:rsidRPr="00D93A66" w:rsidRDefault="00FD4A5B" w:rsidP="00D93A66">
            <w:pPr>
              <w:jc w:val="center"/>
              <w:rPr>
                <w:rFonts w:cstheme="minorHAnsi"/>
                <w:bCs/>
                <w:sz w:val="24"/>
                <w:szCs w:val="24"/>
              </w:rPr>
            </w:pPr>
            <w:r w:rsidRPr="00FD4A5B">
              <w:rPr>
                <w:rFonts w:cstheme="minorHAnsi" w:hint="eastAsia"/>
                <w:bCs/>
                <w:sz w:val="24"/>
                <w:szCs w:val="24"/>
              </w:rPr>
              <w:t>Longbh@rfd.gov.vn</w:t>
            </w:r>
          </w:p>
        </w:tc>
      </w:tr>
      <w:tr w:rsidR="00057D04" w:rsidRPr="00D93A66" w14:paraId="288B5954" w14:textId="77777777" w:rsidTr="00422F86">
        <w:tc>
          <w:tcPr>
            <w:tcW w:w="1556" w:type="dxa"/>
            <w:gridSpan w:val="2"/>
          </w:tcPr>
          <w:p w14:paraId="47B88171" w14:textId="77777777" w:rsidR="00057D04" w:rsidRDefault="00057D04" w:rsidP="00057D04">
            <w:pPr>
              <w:jc w:val="left"/>
              <w:rPr>
                <w:rFonts w:cstheme="minorHAnsi"/>
                <w:b/>
                <w:sz w:val="24"/>
                <w:szCs w:val="24"/>
              </w:rPr>
            </w:pPr>
            <w:r w:rsidRPr="00D93A66">
              <w:rPr>
                <w:rFonts w:cstheme="minorHAnsi"/>
                <w:b/>
                <w:sz w:val="24"/>
                <w:szCs w:val="24"/>
              </w:rPr>
              <w:t>Report Date</w:t>
            </w:r>
          </w:p>
        </w:tc>
        <w:tc>
          <w:tcPr>
            <w:tcW w:w="9496" w:type="dxa"/>
            <w:gridSpan w:val="12"/>
          </w:tcPr>
          <w:p w14:paraId="0C4AB195" w14:textId="60654E3E" w:rsidR="00057D04" w:rsidRDefault="00CA4418" w:rsidP="00057D04">
            <w:pPr>
              <w:jc w:val="left"/>
              <w:rPr>
                <w:rFonts w:cstheme="minorHAnsi"/>
                <w:b/>
                <w:sz w:val="24"/>
                <w:szCs w:val="24"/>
                <w:lang w:eastAsia="zh-CN"/>
              </w:rPr>
            </w:pPr>
            <w:r>
              <w:rPr>
                <w:rFonts w:cstheme="minorHAnsi" w:hint="eastAsia"/>
                <w:b/>
                <w:sz w:val="24"/>
                <w:szCs w:val="24"/>
                <w:lang w:eastAsia="zh-CN"/>
              </w:rPr>
              <w:t>0</w:t>
            </w:r>
            <w:r>
              <w:rPr>
                <w:rFonts w:cstheme="minorHAnsi"/>
                <w:b/>
                <w:sz w:val="24"/>
                <w:szCs w:val="24"/>
                <w:lang w:eastAsia="zh-CN"/>
              </w:rPr>
              <w:t>1/04/2023</w:t>
            </w:r>
          </w:p>
        </w:tc>
      </w:tr>
      <w:tr w:rsidR="00E00EC9" w:rsidRPr="00D93A66" w14:paraId="52A978AF" w14:textId="77777777" w:rsidTr="00422F86">
        <w:tc>
          <w:tcPr>
            <w:tcW w:w="11052" w:type="dxa"/>
            <w:gridSpan w:val="14"/>
          </w:tcPr>
          <w:p w14:paraId="04EEA7D6" w14:textId="77777777" w:rsidR="00E00EC9" w:rsidRDefault="00E00EC9" w:rsidP="00D93A66">
            <w:pPr>
              <w:jc w:val="center"/>
              <w:rPr>
                <w:rFonts w:cstheme="minorHAnsi"/>
                <w:b/>
                <w:sz w:val="24"/>
                <w:szCs w:val="24"/>
              </w:rPr>
            </w:pPr>
          </w:p>
        </w:tc>
      </w:tr>
      <w:tr w:rsidR="0077095D" w:rsidRPr="00D93A66" w14:paraId="5393BE7D" w14:textId="77777777" w:rsidTr="00422F86">
        <w:tc>
          <w:tcPr>
            <w:tcW w:w="11052" w:type="dxa"/>
            <w:gridSpan w:val="14"/>
          </w:tcPr>
          <w:p w14:paraId="4A87B767" w14:textId="77777777" w:rsidR="0077095D" w:rsidRPr="007E7577" w:rsidRDefault="0077095D" w:rsidP="006C7438">
            <w:pPr>
              <w:pStyle w:val="a8"/>
              <w:numPr>
                <w:ilvl w:val="0"/>
                <w:numId w:val="4"/>
              </w:numPr>
              <w:jc w:val="left"/>
              <w:rPr>
                <w:rFonts w:cstheme="minorHAnsi"/>
                <w:b/>
                <w:sz w:val="28"/>
                <w:szCs w:val="28"/>
              </w:rPr>
            </w:pPr>
            <w:r w:rsidRPr="007E7577">
              <w:rPr>
                <w:rFonts w:cstheme="minorHAnsi"/>
                <w:b/>
                <w:sz w:val="28"/>
                <w:szCs w:val="28"/>
              </w:rPr>
              <w:t>APT</w:t>
            </w:r>
          </w:p>
        </w:tc>
      </w:tr>
      <w:tr w:rsidR="0077095D" w:rsidRPr="00D93A66" w14:paraId="2ACD4F2B" w14:textId="77777777" w:rsidTr="00422F86">
        <w:trPr>
          <w:trHeight w:val="596"/>
        </w:trPr>
        <w:tc>
          <w:tcPr>
            <w:tcW w:w="2607" w:type="dxa"/>
            <w:gridSpan w:val="4"/>
          </w:tcPr>
          <w:p w14:paraId="65FF939B" w14:textId="77777777" w:rsidR="0077095D" w:rsidRPr="00D93A66" w:rsidRDefault="0077095D" w:rsidP="00D93A66">
            <w:pPr>
              <w:jc w:val="center"/>
              <w:rPr>
                <w:rFonts w:cstheme="minorHAnsi"/>
                <w:b/>
                <w:sz w:val="24"/>
                <w:szCs w:val="24"/>
              </w:rPr>
            </w:pPr>
            <w:r>
              <w:rPr>
                <w:rFonts w:cstheme="minorHAnsi"/>
                <w:b/>
                <w:sz w:val="24"/>
                <w:szCs w:val="24"/>
              </w:rPr>
              <w:t>APT Preliminary Views</w:t>
            </w:r>
          </w:p>
          <w:p w14:paraId="18CE851E" w14:textId="24E8E5E7" w:rsidR="0077095D" w:rsidRPr="00D93A66" w:rsidRDefault="0077095D" w:rsidP="00B63CF7">
            <w:pPr>
              <w:jc w:val="center"/>
              <w:rPr>
                <w:rFonts w:cstheme="minorHAnsi"/>
                <w:b/>
                <w:sz w:val="24"/>
                <w:szCs w:val="24"/>
              </w:rPr>
            </w:pPr>
            <w:r>
              <w:rPr>
                <w:rFonts w:cstheme="minorHAnsi"/>
                <w:bCs/>
                <w:sz w:val="24"/>
                <w:szCs w:val="24"/>
              </w:rPr>
              <w:t>CPM23-2/</w:t>
            </w:r>
            <w:r w:rsidR="00FF7C5F">
              <w:rPr>
                <w:rFonts w:cstheme="minorHAnsi"/>
                <w:bCs/>
                <w:sz w:val="24"/>
                <w:szCs w:val="24"/>
              </w:rPr>
              <w:t>AI1.6</w:t>
            </w:r>
          </w:p>
        </w:tc>
        <w:tc>
          <w:tcPr>
            <w:tcW w:w="8445" w:type="dxa"/>
            <w:gridSpan w:val="10"/>
          </w:tcPr>
          <w:p w14:paraId="04C513F3" w14:textId="593126E2" w:rsidR="00FD4A5B" w:rsidRPr="008E078E" w:rsidRDefault="00FD4A5B" w:rsidP="00FD4A5B">
            <w:pPr>
              <w:rPr>
                <w:lang w:val="en-NZ"/>
              </w:rPr>
            </w:pPr>
            <w:r w:rsidRPr="008E078E">
              <w:rPr>
                <w:rFonts w:hint="eastAsia"/>
                <w:lang w:val="en-NZ"/>
              </w:rPr>
              <w:t>A</w:t>
            </w:r>
            <w:r w:rsidRPr="008E078E">
              <w:rPr>
                <w:lang w:val="en-NZ"/>
              </w:rPr>
              <w:t>PT Members prefer Method B to address this agenda item, but are still considering approach</w:t>
            </w:r>
            <w:r>
              <w:rPr>
                <w:lang w:val="en-NZ"/>
              </w:rPr>
              <w:t>es</w:t>
            </w:r>
            <w:r w:rsidRPr="008E078E">
              <w:rPr>
                <w:lang w:val="en-NZ"/>
              </w:rPr>
              <w:t xml:space="preserve"> in Method B</w:t>
            </w:r>
            <w:r>
              <w:rPr>
                <w:lang w:val="en-NZ"/>
              </w:rPr>
              <w:t xml:space="preserve"> of draft CPM Report</w:t>
            </w:r>
            <w:r w:rsidRPr="008E078E">
              <w:rPr>
                <w:lang w:val="en-NZ"/>
              </w:rPr>
              <w:t xml:space="preserve">. </w:t>
            </w:r>
          </w:p>
          <w:p w14:paraId="179AF612" w14:textId="77777777" w:rsidR="00FD4A5B" w:rsidRPr="008E078E" w:rsidRDefault="00FD4A5B" w:rsidP="00FD4A5B">
            <w:pPr>
              <w:rPr>
                <w:lang w:val="en-NZ"/>
              </w:rPr>
            </w:pPr>
            <w:r w:rsidRPr="008E078E">
              <w:rPr>
                <w:lang w:val="en-NZ"/>
              </w:rPr>
              <w:t>APT Members are of the view that a new WRC Resolution should be developed, which contains the regulatory provisions to operate radiocommunications for sub-orbital vehicles:</w:t>
            </w:r>
          </w:p>
          <w:p w14:paraId="2EDECB22" w14:textId="77777777" w:rsidR="00FD4A5B" w:rsidRPr="008E078E" w:rsidRDefault="00FD4A5B" w:rsidP="00FD4A5B">
            <w:pPr>
              <w:widowControl/>
              <w:numPr>
                <w:ilvl w:val="0"/>
                <w:numId w:val="5"/>
              </w:numPr>
              <w:wordWrap/>
              <w:autoSpaceDE/>
              <w:autoSpaceDN/>
              <w:ind w:leftChars="145" w:left="650"/>
            </w:pPr>
            <w:r w:rsidRPr="008E078E">
              <w:t xml:space="preserve">The definition or description of sub-orbital flight and sub-orbital vehicle should be provided; </w:t>
            </w:r>
          </w:p>
          <w:p w14:paraId="3423B2D7" w14:textId="77777777" w:rsidR="00FD4A5B" w:rsidRPr="008E078E" w:rsidRDefault="00FD4A5B" w:rsidP="00FD4A5B">
            <w:pPr>
              <w:widowControl/>
              <w:numPr>
                <w:ilvl w:val="0"/>
                <w:numId w:val="5"/>
              </w:numPr>
              <w:wordWrap/>
              <w:autoSpaceDE/>
              <w:autoSpaceDN/>
              <w:ind w:leftChars="145" w:left="650"/>
            </w:pPr>
            <w:r>
              <w:t>It is not clear at this stage whether s</w:t>
            </w:r>
            <w:r w:rsidRPr="008E078E">
              <w:t>tations</w:t>
            </w:r>
            <w:r>
              <w:t xml:space="preserve"> associated with</w:t>
            </w:r>
            <w:r w:rsidRPr="008E078E">
              <w:t xml:space="preserve"> onboard sub-orbital vehicles should be considered as </w:t>
            </w:r>
            <w:r>
              <w:t xml:space="preserve">an </w:t>
            </w:r>
            <w:r w:rsidRPr="008E078E">
              <w:t xml:space="preserve">earth station or </w:t>
            </w:r>
            <w:r>
              <w:t xml:space="preserve">a </w:t>
            </w:r>
            <w:r w:rsidRPr="008E078E">
              <w:t>terrestrial station</w:t>
            </w:r>
            <w:r>
              <w:t xml:space="preserve"> or an </w:t>
            </w:r>
            <w:r w:rsidRPr="008E078E">
              <w:t xml:space="preserve">aircraft station </w:t>
            </w:r>
            <w:r>
              <w:t>which could</w:t>
            </w:r>
            <w:r w:rsidRPr="008E078E">
              <w:t xml:space="preserve"> operate in the AM(R)S, MSS </w:t>
            </w:r>
            <w:r>
              <w:t xml:space="preserve">and </w:t>
            </w:r>
            <w:r w:rsidRPr="008E078E">
              <w:t>RNSS under the same conditions as those for conventional stations;</w:t>
            </w:r>
          </w:p>
          <w:p w14:paraId="45D58147" w14:textId="3A365723" w:rsidR="0077095D" w:rsidRPr="00FD4A5B" w:rsidRDefault="00FD4A5B" w:rsidP="00FD4A5B">
            <w:pPr>
              <w:widowControl/>
              <w:numPr>
                <w:ilvl w:val="0"/>
                <w:numId w:val="5"/>
              </w:numPr>
              <w:wordWrap/>
              <w:autoSpaceDE/>
              <w:autoSpaceDN/>
              <w:ind w:leftChars="145" w:left="650"/>
            </w:pPr>
            <w:r w:rsidRPr="008E078E">
              <w:t>The sub-orbital vehicles shall ensure that it does not affect the existing civil aviation and space launch systems, and not impose any additional constraint on other services or applications operated in the same services.</w:t>
            </w:r>
          </w:p>
        </w:tc>
      </w:tr>
      <w:tr w:rsidR="0077095D" w:rsidRPr="00D93A66" w14:paraId="4308B83E" w14:textId="77777777" w:rsidTr="00422F86">
        <w:trPr>
          <w:trHeight w:val="889"/>
        </w:trPr>
        <w:tc>
          <w:tcPr>
            <w:tcW w:w="2607" w:type="dxa"/>
            <w:gridSpan w:val="4"/>
          </w:tcPr>
          <w:p w14:paraId="2162FE50" w14:textId="77777777" w:rsidR="0077095D" w:rsidRPr="00D93A66" w:rsidRDefault="0077095D" w:rsidP="00D93A66">
            <w:pPr>
              <w:jc w:val="center"/>
              <w:rPr>
                <w:rFonts w:cstheme="minorHAnsi"/>
                <w:b/>
                <w:sz w:val="24"/>
                <w:szCs w:val="24"/>
              </w:rPr>
            </w:pPr>
            <w:r>
              <w:rPr>
                <w:rFonts w:cstheme="minorHAnsi"/>
                <w:b/>
                <w:sz w:val="24"/>
                <w:szCs w:val="24"/>
              </w:rPr>
              <w:t>APT Views for modification of CPM Report</w:t>
            </w:r>
          </w:p>
          <w:p w14:paraId="6DC306CC" w14:textId="401AD017" w:rsidR="0077095D" w:rsidRPr="00D93A66" w:rsidRDefault="0077095D" w:rsidP="00447DE1">
            <w:pPr>
              <w:jc w:val="center"/>
              <w:rPr>
                <w:rFonts w:cstheme="minorHAnsi"/>
                <w:b/>
                <w:sz w:val="24"/>
                <w:szCs w:val="24"/>
              </w:rPr>
            </w:pPr>
            <w:r>
              <w:rPr>
                <w:rFonts w:cstheme="minorHAnsi"/>
                <w:bCs/>
                <w:sz w:val="24"/>
                <w:szCs w:val="24"/>
              </w:rPr>
              <w:t>CPM23-2/</w:t>
            </w:r>
            <w:r w:rsidR="00FF7C5F">
              <w:rPr>
                <w:rFonts w:cstheme="minorHAnsi"/>
                <w:bCs/>
                <w:sz w:val="24"/>
                <w:szCs w:val="24"/>
              </w:rPr>
              <w:t xml:space="preserve"> AI1.6</w:t>
            </w:r>
          </w:p>
        </w:tc>
        <w:tc>
          <w:tcPr>
            <w:tcW w:w="8445" w:type="dxa"/>
            <w:gridSpan w:val="10"/>
          </w:tcPr>
          <w:p w14:paraId="1091C394" w14:textId="349B66C1" w:rsidR="0077095D" w:rsidRPr="00FF7C5F" w:rsidRDefault="00FF7C5F" w:rsidP="00FF7C5F">
            <w:pPr>
              <w:rPr>
                <w:lang w:val="en-NZ" w:eastAsia="zh-CN"/>
              </w:rPr>
            </w:pPr>
            <w:r>
              <w:rPr>
                <w:rFonts w:hint="eastAsia"/>
                <w:lang w:val="en-NZ" w:eastAsia="zh-CN"/>
              </w:rPr>
              <w:t>N</w:t>
            </w:r>
            <w:r>
              <w:rPr>
                <w:lang w:val="en-NZ" w:eastAsia="zh-CN"/>
              </w:rPr>
              <w:t>o.</w:t>
            </w:r>
          </w:p>
        </w:tc>
      </w:tr>
      <w:tr w:rsidR="0077095D" w:rsidRPr="00D93A66" w14:paraId="5353AB50" w14:textId="77777777" w:rsidTr="00422F86">
        <w:tc>
          <w:tcPr>
            <w:tcW w:w="2607" w:type="dxa"/>
            <w:gridSpan w:val="4"/>
          </w:tcPr>
          <w:p w14:paraId="4090F432" w14:textId="77777777" w:rsidR="006C7438" w:rsidRDefault="0077095D" w:rsidP="0077095D">
            <w:pPr>
              <w:jc w:val="center"/>
              <w:rPr>
                <w:rFonts w:cstheme="minorHAnsi"/>
                <w:b/>
                <w:sz w:val="24"/>
                <w:szCs w:val="24"/>
              </w:rPr>
            </w:pPr>
            <w:r>
              <w:rPr>
                <w:rFonts w:cstheme="minorHAnsi"/>
                <w:b/>
                <w:sz w:val="24"/>
                <w:szCs w:val="24"/>
              </w:rPr>
              <w:t xml:space="preserve">Outcome from earlier </w:t>
            </w:r>
          </w:p>
          <w:p w14:paraId="13F4FB8E" w14:textId="77777777" w:rsidR="0077095D" w:rsidRPr="0077095D" w:rsidRDefault="0077095D" w:rsidP="0077095D">
            <w:pPr>
              <w:jc w:val="center"/>
              <w:rPr>
                <w:rFonts w:cstheme="minorHAnsi"/>
                <w:bCs/>
                <w:sz w:val="24"/>
                <w:szCs w:val="24"/>
              </w:rPr>
            </w:pPr>
            <w:r>
              <w:rPr>
                <w:rFonts w:cstheme="minorHAnsi"/>
                <w:b/>
                <w:sz w:val="24"/>
                <w:szCs w:val="24"/>
              </w:rPr>
              <w:t>APT Coord meeting</w:t>
            </w:r>
          </w:p>
        </w:tc>
        <w:tc>
          <w:tcPr>
            <w:tcW w:w="8445" w:type="dxa"/>
            <w:gridSpan w:val="10"/>
          </w:tcPr>
          <w:p w14:paraId="386344D0" w14:textId="7AD6DE5A" w:rsidR="0077095D" w:rsidRPr="00D93A66" w:rsidRDefault="0068347D" w:rsidP="0068347D">
            <w:pPr>
              <w:rPr>
                <w:rFonts w:cstheme="minorHAnsi"/>
                <w:b/>
                <w:sz w:val="24"/>
                <w:szCs w:val="24"/>
              </w:rPr>
            </w:pPr>
            <w:r>
              <w:rPr>
                <w:rFonts w:cstheme="minorHAnsi"/>
                <w:bCs/>
                <w:sz w:val="24"/>
                <w:szCs w:val="24"/>
              </w:rPr>
              <w:t>No.</w:t>
            </w:r>
          </w:p>
        </w:tc>
      </w:tr>
      <w:tr w:rsidR="0077095D" w:rsidRPr="00D93A66" w14:paraId="6D95664C" w14:textId="77777777" w:rsidTr="00422F86">
        <w:tc>
          <w:tcPr>
            <w:tcW w:w="11052" w:type="dxa"/>
            <w:gridSpan w:val="14"/>
          </w:tcPr>
          <w:p w14:paraId="4BE00E67" w14:textId="77777777" w:rsidR="0077095D" w:rsidRDefault="0077095D" w:rsidP="0077095D">
            <w:pPr>
              <w:jc w:val="left"/>
              <w:rPr>
                <w:rFonts w:cstheme="minorHAnsi"/>
                <w:b/>
                <w:sz w:val="24"/>
                <w:szCs w:val="24"/>
              </w:rPr>
            </w:pPr>
          </w:p>
        </w:tc>
      </w:tr>
      <w:tr w:rsidR="0077095D" w:rsidRPr="00D93A66" w14:paraId="0188F36C" w14:textId="77777777" w:rsidTr="00422F86">
        <w:tc>
          <w:tcPr>
            <w:tcW w:w="11052" w:type="dxa"/>
            <w:gridSpan w:val="14"/>
          </w:tcPr>
          <w:p w14:paraId="17826C7F" w14:textId="77777777" w:rsidR="0077095D" w:rsidRPr="007E7577" w:rsidRDefault="0077095D" w:rsidP="006C7438">
            <w:pPr>
              <w:pStyle w:val="a8"/>
              <w:numPr>
                <w:ilvl w:val="0"/>
                <w:numId w:val="4"/>
              </w:numPr>
              <w:jc w:val="left"/>
              <w:rPr>
                <w:rFonts w:cstheme="minorHAnsi"/>
                <w:b/>
                <w:sz w:val="28"/>
                <w:szCs w:val="28"/>
              </w:rPr>
            </w:pPr>
            <w:r w:rsidRPr="007E7577">
              <w:rPr>
                <w:rFonts w:cstheme="minorHAnsi"/>
                <w:b/>
                <w:sz w:val="28"/>
                <w:szCs w:val="28"/>
              </w:rPr>
              <w:t>Other regional groups</w:t>
            </w:r>
          </w:p>
        </w:tc>
      </w:tr>
      <w:tr w:rsidR="00422F86" w:rsidRPr="00D93A66" w14:paraId="4A0A82C9" w14:textId="77777777" w:rsidTr="006D5EA8">
        <w:tc>
          <w:tcPr>
            <w:tcW w:w="1413" w:type="dxa"/>
          </w:tcPr>
          <w:p w14:paraId="7DEF1AF2" w14:textId="77777777" w:rsidR="007E7577" w:rsidRDefault="007E7577" w:rsidP="00D93A66">
            <w:pPr>
              <w:jc w:val="center"/>
              <w:rPr>
                <w:rFonts w:cstheme="minorHAnsi"/>
                <w:b/>
                <w:sz w:val="24"/>
                <w:szCs w:val="24"/>
              </w:rPr>
            </w:pPr>
          </w:p>
        </w:tc>
        <w:tc>
          <w:tcPr>
            <w:tcW w:w="2263" w:type="dxa"/>
            <w:gridSpan w:val="5"/>
          </w:tcPr>
          <w:p w14:paraId="58E9B644" w14:textId="77777777" w:rsidR="007E7577" w:rsidRDefault="007E7577" w:rsidP="00A809B7">
            <w:pPr>
              <w:jc w:val="center"/>
              <w:rPr>
                <w:rFonts w:cstheme="minorHAnsi"/>
                <w:b/>
                <w:sz w:val="24"/>
                <w:szCs w:val="24"/>
              </w:rPr>
            </w:pPr>
            <w:r>
              <w:rPr>
                <w:rFonts w:cstheme="minorHAnsi"/>
                <w:b/>
                <w:sz w:val="24"/>
                <w:szCs w:val="24"/>
              </w:rPr>
              <w:t>ATU</w:t>
            </w:r>
            <w:r>
              <w:rPr>
                <w:rFonts w:cstheme="minorHAnsi"/>
                <w:bCs/>
                <w:sz w:val="24"/>
                <w:szCs w:val="24"/>
              </w:rPr>
              <w:t xml:space="preserve"> </w:t>
            </w:r>
          </w:p>
        </w:tc>
        <w:tc>
          <w:tcPr>
            <w:tcW w:w="2273" w:type="dxa"/>
            <w:gridSpan w:val="2"/>
          </w:tcPr>
          <w:p w14:paraId="190239EE" w14:textId="77777777" w:rsidR="007E7577" w:rsidRDefault="007E7577" w:rsidP="00D93A66">
            <w:pPr>
              <w:jc w:val="center"/>
              <w:rPr>
                <w:rFonts w:cstheme="minorHAnsi"/>
                <w:b/>
                <w:sz w:val="24"/>
                <w:szCs w:val="24"/>
              </w:rPr>
            </w:pPr>
            <w:r>
              <w:rPr>
                <w:rFonts w:cstheme="minorHAnsi"/>
                <w:b/>
                <w:sz w:val="24"/>
                <w:szCs w:val="24"/>
              </w:rPr>
              <w:t>ASMG</w:t>
            </w:r>
          </w:p>
        </w:tc>
        <w:tc>
          <w:tcPr>
            <w:tcW w:w="1701" w:type="dxa"/>
            <w:gridSpan w:val="3"/>
          </w:tcPr>
          <w:p w14:paraId="0575102B" w14:textId="77777777" w:rsidR="007E7577" w:rsidRDefault="007E7577" w:rsidP="00D93A66">
            <w:pPr>
              <w:jc w:val="center"/>
              <w:rPr>
                <w:rFonts w:cstheme="minorHAnsi"/>
                <w:b/>
                <w:sz w:val="24"/>
                <w:szCs w:val="24"/>
              </w:rPr>
            </w:pPr>
            <w:r>
              <w:rPr>
                <w:rFonts w:cstheme="minorHAnsi"/>
                <w:b/>
                <w:sz w:val="24"/>
                <w:szCs w:val="24"/>
              </w:rPr>
              <w:t>CEPT</w:t>
            </w:r>
          </w:p>
        </w:tc>
        <w:tc>
          <w:tcPr>
            <w:tcW w:w="1847" w:type="dxa"/>
            <w:gridSpan w:val="2"/>
          </w:tcPr>
          <w:p w14:paraId="76F9F7A4" w14:textId="77777777" w:rsidR="007E7577" w:rsidRDefault="007E7577" w:rsidP="00D93A66">
            <w:pPr>
              <w:jc w:val="center"/>
              <w:rPr>
                <w:rFonts w:cstheme="minorHAnsi"/>
                <w:b/>
                <w:sz w:val="24"/>
                <w:szCs w:val="24"/>
              </w:rPr>
            </w:pPr>
            <w:r>
              <w:rPr>
                <w:rFonts w:cstheme="minorHAnsi"/>
                <w:b/>
                <w:sz w:val="24"/>
                <w:szCs w:val="24"/>
              </w:rPr>
              <w:t>CITEL</w:t>
            </w:r>
          </w:p>
        </w:tc>
        <w:tc>
          <w:tcPr>
            <w:tcW w:w="1555" w:type="dxa"/>
          </w:tcPr>
          <w:p w14:paraId="6E9E4D5B" w14:textId="77777777" w:rsidR="007E7577" w:rsidRDefault="007E7577" w:rsidP="00D93A66">
            <w:pPr>
              <w:jc w:val="center"/>
              <w:rPr>
                <w:rFonts w:cstheme="minorHAnsi"/>
                <w:b/>
                <w:sz w:val="24"/>
                <w:szCs w:val="24"/>
              </w:rPr>
            </w:pPr>
            <w:r>
              <w:rPr>
                <w:rFonts w:cstheme="minorHAnsi"/>
                <w:b/>
                <w:sz w:val="24"/>
                <w:szCs w:val="24"/>
              </w:rPr>
              <w:t>RCC</w:t>
            </w:r>
          </w:p>
        </w:tc>
      </w:tr>
      <w:tr w:rsidR="00422F86" w:rsidRPr="00D93A66" w14:paraId="59CDA212" w14:textId="77777777" w:rsidTr="006D5EA8">
        <w:tc>
          <w:tcPr>
            <w:tcW w:w="1413" w:type="dxa"/>
          </w:tcPr>
          <w:p w14:paraId="10483410" w14:textId="77777777" w:rsidR="007E7577" w:rsidRDefault="007E7577" w:rsidP="00D93A66">
            <w:pPr>
              <w:jc w:val="center"/>
              <w:rPr>
                <w:rFonts w:cstheme="minorHAnsi"/>
                <w:b/>
                <w:sz w:val="24"/>
                <w:szCs w:val="24"/>
              </w:rPr>
            </w:pPr>
            <w:r>
              <w:rPr>
                <w:rFonts w:cstheme="minorHAnsi"/>
                <w:b/>
                <w:sz w:val="24"/>
                <w:szCs w:val="24"/>
              </w:rPr>
              <w:t>Input(s)</w:t>
            </w:r>
          </w:p>
        </w:tc>
        <w:tc>
          <w:tcPr>
            <w:tcW w:w="2263" w:type="dxa"/>
            <w:gridSpan w:val="5"/>
          </w:tcPr>
          <w:p w14:paraId="3D01F186" w14:textId="2C383369" w:rsidR="007E7577" w:rsidRDefault="007E7577" w:rsidP="00D93A66">
            <w:pPr>
              <w:jc w:val="center"/>
              <w:rPr>
                <w:rFonts w:cstheme="minorHAnsi"/>
                <w:b/>
                <w:sz w:val="24"/>
                <w:szCs w:val="24"/>
              </w:rPr>
            </w:pPr>
            <w:r>
              <w:rPr>
                <w:rFonts w:cstheme="minorHAnsi"/>
                <w:bCs/>
                <w:sz w:val="24"/>
                <w:szCs w:val="24"/>
              </w:rPr>
              <w:t>CPM23-2/</w:t>
            </w:r>
            <w:r w:rsidR="00FF7C5F">
              <w:rPr>
                <w:rFonts w:cstheme="minorHAnsi"/>
                <w:bCs/>
                <w:sz w:val="24"/>
                <w:szCs w:val="24"/>
              </w:rPr>
              <w:t xml:space="preserve"> </w:t>
            </w:r>
            <w:r w:rsidR="0068347D">
              <w:rPr>
                <w:rFonts w:cstheme="minorHAnsi" w:hint="eastAsia"/>
                <w:bCs/>
                <w:sz w:val="24"/>
                <w:szCs w:val="24"/>
                <w:lang w:eastAsia="zh-CN"/>
              </w:rPr>
              <w:t>xxx</w:t>
            </w:r>
          </w:p>
        </w:tc>
        <w:tc>
          <w:tcPr>
            <w:tcW w:w="2273" w:type="dxa"/>
            <w:gridSpan w:val="2"/>
          </w:tcPr>
          <w:p w14:paraId="0E9B85DD" w14:textId="6BB38F9D" w:rsidR="007E7577" w:rsidRDefault="007E7577" w:rsidP="00D93A66">
            <w:pPr>
              <w:jc w:val="center"/>
              <w:rPr>
                <w:rFonts w:cstheme="minorHAnsi"/>
                <w:b/>
                <w:sz w:val="24"/>
                <w:szCs w:val="24"/>
              </w:rPr>
            </w:pPr>
            <w:r>
              <w:rPr>
                <w:rFonts w:cstheme="minorHAnsi"/>
                <w:bCs/>
                <w:sz w:val="24"/>
                <w:szCs w:val="24"/>
              </w:rPr>
              <w:t>CPM23-2/</w:t>
            </w:r>
            <w:r w:rsidR="00FF7C5F">
              <w:rPr>
                <w:rFonts w:cstheme="minorHAnsi"/>
                <w:bCs/>
                <w:sz w:val="24"/>
                <w:szCs w:val="24"/>
              </w:rPr>
              <w:t xml:space="preserve"> </w:t>
            </w:r>
            <w:r w:rsidR="0068347D">
              <w:rPr>
                <w:rFonts w:cstheme="minorHAnsi"/>
                <w:bCs/>
                <w:sz w:val="24"/>
                <w:szCs w:val="24"/>
              </w:rPr>
              <w:t>xxx</w:t>
            </w:r>
          </w:p>
        </w:tc>
        <w:tc>
          <w:tcPr>
            <w:tcW w:w="1701" w:type="dxa"/>
            <w:gridSpan w:val="3"/>
          </w:tcPr>
          <w:p w14:paraId="7F6B1D23" w14:textId="72A8CDE9" w:rsidR="007E7577" w:rsidRDefault="007E7577" w:rsidP="00D93A66">
            <w:pPr>
              <w:jc w:val="center"/>
              <w:rPr>
                <w:rFonts w:cstheme="minorHAnsi"/>
                <w:b/>
                <w:sz w:val="24"/>
                <w:szCs w:val="24"/>
              </w:rPr>
            </w:pPr>
            <w:r>
              <w:rPr>
                <w:rFonts w:cstheme="minorHAnsi"/>
                <w:bCs/>
                <w:sz w:val="24"/>
                <w:szCs w:val="24"/>
              </w:rPr>
              <w:t>CPM23-2/</w:t>
            </w:r>
            <w:r w:rsidR="00FF7C5F">
              <w:rPr>
                <w:rFonts w:cstheme="minorHAnsi"/>
                <w:bCs/>
                <w:sz w:val="24"/>
                <w:szCs w:val="24"/>
              </w:rPr>
              <w:t xml:space="preserve"> </w:t>
            </w:r>
            <w:hyperlink r:id="rId7" w:history="1">
              <w:r w:rsidR="00B304C3" w:rsidRPr="00B304C3">
                <w:rPr>
                  <w:rStyle w:val="aa"/>
                  <w:rFonts w:cstheme="minorHAnsi"/>
                  <w:bCs/>
                  <w:sz w:val="24"/>
                  <w:szCs w:val="24"/>
                </w:rPr>
                <w:t>129</w:t>
              </w:r>
            </w:hyperlink>
            <w:r w:rsidR="00B304C3">
              <w:rPr>
                <w:rFonts w:cstheme="minorHAnsi"/>
                <w:bCs/>
                <w:sz w:val="24"/>
                <w:szCs w:val="24"/>
              </w:rPr>
              <w:t xml:space="preserve">, </w:t>
            </w:r>
            <w:hyperlink r:id="rId8" w:history="1">
              <w:r w:rsidR="00B304C3" w:rsidRPr="00B304C3">
                <w:rPr>
                  <w:rStyle w:val="aa"/>
                  <w:rFonts w:cstheme="minorHAnsi"/>
                  <w:bCs/>
                  <w:sz w:val="24"/>
                  <w:szCs w:val="24"/>
                </w:rPr>
                <w:t>148</w:t>
              </w:r>
            </w:hyperlink>
          </w:p>
        </w:tc>
        <w:tc>
          <w:tcPr>
            <w:tcW w:w="1847" w:type="dxa"/>
            <w:gridSpan w:val="2"/>
          </w:tcPr>
          <w:p w14:paraId="4B49CE36" w14:textId="1A4BAD6B" w:rsidR="007E7577" w:rsidRDefault="007E7577" w:rsidP="00D93A66">
            <w:pPr>
              <w:jc w:val="center"/>
              <w:rPr>
                <w:rFonts w:cstheme="minorHAnsi" w:hint="eastAsia"/>
                <w:b/>
                <w:sz w:val="24"/>
                <w:szCs w:val="24"/>
                <w:lang w:eastAsia="zh-CN"/>
              </w:rPr>
            </w:pPr>
            <w:r>
              <w:rPr>
                <w:rFonts w:cstheme="minorHAnsi"/>
                <w:bCs/>
                <w:sz w:val="24"/>
                <w:szCs w:val="24"/>
              </w:rPr>
              <w:t>CPM23-2/</w:t>
            </w:r>
            <w:r w:rsidR="00FF7C5F">
              <w:rPr>
                <w:rFonts w:cstheme="minorHAnsi"/>
                <w:bCs/>
                <w:sz w:val="24"/>
                <w:szCs w:val="24"/>
              </w:rPr>
              <w:t xml:space="preserve"> </w:t>
            </w:r>
            <w:hyperlink r:id="rId9" w:history="1">
              <w:r w:rsidR="00B304C3" w:rsidRPr="00B304C3">
                <w:rPr>
                  <w:rStyle w:val="aa"/>
                  <w:rFonts w:cstheme="minorHAnsi"/>
                  <w:bCs/>
                  <w:sz w:val="24"/>
                  <w:szCs w:val="24"/>
                </w:rPr>
                <w:t>21</w:t>
              </w:r>
            </w:hyperlink>
            <w:r w:rsidR="00B304C3">
              <w:rPr>
                <w:rFonts w:cstheme="minorHAnsi" w:hint="eastAsia"/>
                <w:bCs/>
                <w:sz w:val="24"/>
                <w:szCs w:val="24"/>
                <w:lang w:eastAsia="zh-CN"/>
              </w:rPr>
              <w:t>,</w:t>
            </w:r>
            <w:r w:rsidR="006D5EA8">
              <w:rPr>
                <w:rFonts w:cstheme="minorHAnsi"/>
                <w:bCs/>
                <w:sz w:val="24"/>
                <w:szCs w:val="24"/>
                <w:lang w:eastAsia="zh-CN"/>
              </w:rPr>
              <w:t xml:space="preserve"> </w:t>
            </w:r>
            <w:hyperlink r:id="rId10" w:history="1">
              <w:r w:rsidR="00B304C3" w:rsidRPr="00B304C3">
                <w:rPr>
                  <w:rStyle w:val="aa"/>
                  <w:rFonts w:cstheme="minorHAnsi" w:hint="eastAsia"/>
                  <w:bCs/>
                  <w:sz w:val="24"/>
                  <w:szCs w:val="24"/>
                  <w:lang w:eastAsia="zh-CN"/>
                </w:rPr>
                <w:t>1</w:t>
              </w:r>
              <w:r w:rsidR="00B304C3" w:rsidRPr="00B304C3">
                <w:rPr>
                  <w:rStyle w:val="aa"/>
                  <w:rFonts w:cstheme="minorHAnsi"/>
                  <w:bCs/>
                  <w:sz w:val="24"/>
                  <w:szCs w:val="24"/>
                  <w:lang w:eastAsia="zh-CN"/>
                </w:rPr>
                <w:t>54</w:t>
              </w:r>
            </w:hyperlink>
          </w:p>
        </w:tc>
        <w:tc>
          <w:tcPr>
            <w:tcW w:w="1555" w:type="dxa"/>
          </w:tcPr>
          <w:p w14:paraId="6978C941" w14:textId="2F6D5419" w:rsidR="007E7577" w:rsidRDefault="007E7577" w:rsidP="00D93A66">
            <w:pPr>
              <w:jc w:val="center"/>
              <w:rPr>
                <w:rFonts w:cstheme="minorHAnsi"/>
                <w:b/>
                <w:sz w:val="24"/>
                <w:szCs w:val="24"/>
              </w:rPr>
            </w:pPr>
            <w:r>
              <w:rPr>
                <w:rFonts w:cstheme="minorHAnsi"/>
                <w:bCs/>
                <w:sz w:val="24"/>
                <w:szCs w:val="24"/>
              </w:rPr>
              <w:t>CPM23-2/</w:t>
            </w:r>
            <w:r w:rsidR="00FF7C5F">
              <w:rPr>
                <w:rFonts w:cstheme="minorHAnsi"/>
                <w:bCs/>
                <w:sz w:val="24"/>
                <w:szCs w:val="24"/>
              </w:rPr>
              <w:t xml:space="preserve"> </w:t>
            </w:r>
            <w:hyperlink r:id="rId11" w:history="1">
              <w:r w:rsidR="00B304C3" w:rsidRPr="00B304C3">
                <w:rPr>
                  <w:rStyle w:val="aa"/>
                  <w:rFonts w:cstheme="minorHAnsi"/>
                  <w:bCs/>
                  <w:sz w:val="24"/>
                  <w:szCs w:val="24"/>
                </w:rPr>
                <w:t>89</w:t>
              </w:r>
            </w:hyperlink>
          </w:p>
        </w:tc>
      </w:tr>
      <w:tr w:rsidR="00422F86" w:rsidRPr="00D93A66" w14:paraId="79F9C85B" w14:textId="77777777" w:rsidTr="006D5EA8">
        <w:tc>
          <w:tcPr>
            <w:tcW w:w="1413" w:type="dxa"/>
          </w:tcPr>
          <w:p w14:paraId="40CF761D" w14:textId="77777777" w:rsidR="007E7577" w:rsidRDefault="007E7577" w:rsidP="00D93A66">
            <w:pPr>
              <w:jc w:val="center"/>
              <w:rPr>
                <w:rFonts w:cstheme="minorHAnsi"/>
                <w:b/>
                <w:sz w:val="24"/>
                <w:szCs w:val="24"/>
              </w:rPr>
            </w:pPr>
            <w:r>
              <w:rPr>
                <w:rFonts w:cstheme="minorHAnsi"/>
                <w:b/>
                <w:sz w:val="24"/>
                <w:szCs w:val="24"/>
              </w:rPr>
              <w:t>Summary of views/proposals</w:t>
            </w:r>
          </w:p>
        </w:tc>
        <w:tc>
          <w:tcPr>
            <w:tcW w:w="2263" w:type="dxa"/>
            <w:gridSpan w:val="5"/>
          </w:tcPr>
          <w:p w14:paraId="5EDBB2AE" w14:textId="3B562B2A" w:rsidR="007E7577" w:rsidRPr="00422F86" w:rsidRDefault="00FF7C5F" w:rsidP="00FF7C5F">
            <w:pPr>
              <w:jc w:val="left"/>
              <w:rPr>
                <w:szCs w:val="20"/>
              </w:rPr>
            </w:pPr>
            <w:r w:rsidRPr="00422F86">
              <w:rPr>
                <w:szCs w:val="20"/>
              </w:rPr>
              <w:t>1) Support to develop regulatory provisions to facilitate the operation of sub-orbital vehicles, while ensuring the protection of current civil aviation, space launch systems and radio astronomy.</w:t>
            </w:r>
          </w:p>
          <w:p w14:paraId="71F30DC0" w14:textId="5C61CE7B" w:rsidR="00FF7C5F" w:rsidRPr="00FF7C5F" w:rsidRDefault="00FF7C5F" w:rsidP="00FF7C5F">
            <w:pPr>
              <w:jc w:val="left"/>
              <w:rPr>
                <w:rFonts w:cstheme="minorHAnsi"/>
                <w:b/>
                <w:sz w:val="18"/>
                <w:szCs w:val="18"/>
              </w:rPr>
            </w:pPr>
            <w:r w:rsidRPr="00422F86">
              <w:rPr>
                <w:szCs w:val="20"/>
              </w:rPr>
              <w:t>2)  Note and recall that the scope of this agenda item excludes any new allocations or changes to the existing allocations in Article 5.</w:t>
            </w:r>
          </w:p>
        </w:tc>
        <w:tc>
          <w:tcPr>
            <w:tcW w:w="2273" w:type="dxa"/>
            <w:gridSpan w:val="2"/>
          </w:tcPr>
          <w:p w14:paraId="451756AF" w14:textId="10255E57" w:rsidR="00FF7C5F" w:rsidRPr="00B304C3" w:rsidRDefault="00422F86" w:rsidP="00FF7C5F">
            <w:pPr>
              <w:jc w:val="left"/>
              <w:rPr>
                <w:rFonts w:eastAsia="Malgun Gothic" w:hint="eastAsia"/>
                <w:szCs w:val="20"/>
              </w:rPr>
            </w:pPr>
            <w:r w:rsidRPr="00422F86">
              <w:rPr>
                <w:szCs w:val="20"/>
              </w:rPr>
              <w:t>1) D</w:t>
            </w:r>
            <w:r w:rsidR="00FF7C5F" w:rsidRPr="00422F86">
              <w:rPr>
                <w:szCs w:val="20"/>
              </w:rPr>
              <w:t>evelopment of a new WRC-23 Resolution containing regulatory provisions to facilitate the operation of sub-orbital vehicles, and ensure that it does not affect the existing civil aviation and space launch systems, and doesn’t impose any new restrictions on other co-primary services and applications</w:t>
            </w:r>
            <w:r w:rsidR="00B304C3">
              <w:rPr>
                <w:rFonts w:hint="eastAsia"/>
                <w:szCs w:val="20"/>
                <w:lang w:eastAsia="zh-CN"/>
              </w:rPr>
              <w:t>.</w:t>
            </w:r>
          </w:p>
          <w:p w14:paraId="7C0415E3" w14:textId="77777777" w:rsidR="00422F86" w:rsidRDefault="00422F86" w:rsidP="00FF7C5F">
            <w:pPr>
              <w:jc w:val="left"/>
              <w:rPr>
                <w:szCs w:val="20"/>
              </w:rPr>
            </w:pPr>
            <w:r w:rsidRPr="00422F86">
              <w:rPr>
                <w:rFonts w:hint="eastAsia"/>
                <w:szCs w:val="20"/>
              </w:rPr>
              <w:t>2</w:t>
            </w:r>
            <w:r w:rsidRPr="00422F86">
              <w:rPr>
                <w:szCs w:val="20"/>
              </w:rPr>
              <w:t>) Specific definition for sub-orbital vehicles</w:t>
            </w:r>
            <w:r w:rsidR="00B304C3">
              <w:rPr>
                <w:szCs w:val="20"/>
              </w:rPr>
              <w:t>.</w:t>
            </w:r>
          </w:p>
          <w:p w14:paraId="14636914" w14:textId="40BA2733" w:rsidR="00B304C3" w:rsidRPr="00B304C3" w:rsidRDefault="00B304C3" w:rsidP="00FF7C5F">
            <w:pPr>
              <w:jc w:val="left"/>
              <w:rPr>
                <w:sz w:val="18"/>
                <w:szCs w:val="18"/>
                <w:lang w:eastAsia="zh-CN"/>
              </w:rPr>
            </w:pPr>
            <w:r>
              <w:rPr>
                <w:szCs w:val="20"/>
              </w:rPr>
              <w:t xml:space="preserve">3) </w:t>
            </w:r>
            <w:r w:rsidRPr="00831305">
              <w:t xml:space="preserve"> </w:t>
            </w:r>
            <w:r w:rsidRPr="00831305">
              <w:t>No change in Article 5 of the Radio Regulations</w:t>
            </w:r>
          </w:p>
        </w:tc>
        <w:tc>
          <w:tcPr>
            <w:tcW w:w="1701" w:type="dxa"/>
            <w:gridSpan w:val="3"/>
          </w:tcPr>
          <w:p w14:paraId="215BB2A6" w14:textId="1235CCE9" w:rsidR="00FF7C5F" w:rsidRPr="00422F86" w:rsidRDefault="00FF7C5F" w:rsidP="00FF7C5F">
            <w:pPr>
              <w:jc w:val="left"/>
              <w:rPr>
                <w:szCs w:val="20"/>
              </w:rPr>
            </w:pPr>
            <w:r w:rsidRPr="00422F86">
              <w:rPr>
                <w:szCs w:val="20"/>
              </w:rPr>
              <w:t>1)</w:t>
            </w:r>
            <w:r w:rsidR="00422F86">
              <w:rPr>
                <w:szCs w:val="20"/>
              </w:rPr>
              <w:t xml:space="preserve"> P</w:t>
            </w:r>
            <w:r w:rsidRPr="00422F86">
              <w:rPr>
                <w:szCs w:val="20"/>
              </w:rPr>
              <w:t>rovides the conditions for the operation of terrestrial stations and earth stations fitted on board suborbital vehicles</w:t>
            </w:r>
            <w:r w:rsidR="006D5EA8">
              <w:rPr>
                <w:szCs w:val="20"/>
              </w:rPr>
              <w:t>.</w:t>
            </w:r>
          </w:p>
          <w:p w14:paraId="75E9CAE8" w14:textId="77777777" w:rsidR="00FF7C5F" w:rsidRDefault="00FF7C5F" w:rsidP="00FF7C5F">
            <w:pPr>
              <w:jc w:val="left"/>
              <w:rPr>
                <w:szCs w:val="20"/>
              </w:rPr>
            </w:pPr>
            <w:r w:rsidRPr="00422F86">
              <w:rPr>
                <w:szCs w:val="20"/>
              </w:rPr>
              <w:t>2)</w:t>
            </w:r>
            <w:r w:rsidR="00422F86">
              <w:rPr>
                <w:szCs w:val="20"/>
              </w:rPr>
              <w:t xml:space="preserve"> D</w:t>
            </w:r>
            <w:r w:rsidRPr="00422F86">
              <w:rPr>
                <w:szCs w:val="20"/>
              </w:rPr>
              <w:t xml:space="preserve">ecides which of the terrestrial stations and earth stations on board a sub-orbital vehicle </w:t>
            </w:r>
            <w:r w:rsidR="006D5EA8" w:rsidRPr="00422F86">
              <w:rPr>
                <w:szCs w:val="20"/>
              </w:rPr>
              <w:t>is</w:t>
            </w:r>
            <w:r w:rsidRPr="00422F86">
              <w:rPr>
                <w:szCs w:val="20"/>
              </w:rPr>
              <w:t xml:space="preserve"> required to</w:t>
            </w:r>
            <w:r w:rsidRPr="00422F86">
              <w:rPr>
                <w:rFonts w:hint="eastAsia"/>
                <w:szCs w:val="20"/>
              </w:rPr>
              <w:t xml:space="preserve"> </w:t>
            </w:r>
            <w:r w:rsidRPr="00422F86">
              <w:rPr>
                <w:szCs w:val="20"/>
              </w:rPr>
              <w:t xml:space="preserve">ensure the safe integration in aviation airspace under the </w:t>
            </w:r>
            <w:r w:rsidRPr="00422F86">
              <w:rPr>
                <w:szCs w:val="20"/>
              </w:rPr>
              <w:lastRenderedPageBreak/>
              <w:t>following conditions</w:t>
            </w:r>
            <w:r w:rsidR="006D5EA8">
              <w:rPr>
                <w:szCs w:val="20"/>
              </w:rPr>
              <w:t>.</w:t>
            </w:r>
          </w:p>
          <w:p w14:paraId="44C2CE27" w14:textId="739F6F90" w:rsidR="006D5EA8" w:rsidRPr="00FF7C5F" w:rsidRDefault="006D5EA8" w:rsidP="00FF7C5F">
            <w:pPr>
              <w:jc w:val="left"/>
              <w:rPr>
                <w:rFonts w:eastAsia="Malgun Gothic"/>
                <w:sz w:val="18"/>
                <w:szCs w:val="18"/>
              </w:rPr>
            </w:pPr>
          </w:p>
        </w:tc>
        <w:tc>
          <w:tcPr>
            <w:tcW w:w="1847" w:type="dxa"/>
            <w:gridSpan w:val="2"/>
          </w:tcPr>
          <w:p w14:paraId="7C20B52D" w14:textId="35CB0323" w:rsidR="007E7577" w:rsidRPr="00422F86" w:rsidRDefault="0014329D" w:rsidP="0014329D">
            <w:pPr>
              <w:jc w:val="left"/>
              <w:rPr>
                <w:szCs w:val="20"/>
              </w:rPr>
            </w:pPr>
            <w:r w:rsidRPr="00422F86">
              <w:rPr>
                <w:szCs w:val="20"/>
              </w:rPr>
              <w:lastRenderedPageBreak/>
              <w:t xml:space="preserve">1) </w:t>
            </w:r>
            <w:r w:rsidR="00422F86">
              <w:rPr>
                <w:rFonts w:hint="eastAsia"/>
                <w:szCs w:val="20"/>
                <w:lang w:eastAsia="zh-CN"/>
              </w:rPr>
              <w:t>P</w:t>
            </w:r>
            <w:r w:rsidRPr="00422F86">
              <w:rPr>
                <w:szCs w:val="20"/>
              </w:rPr>
              <w:t>roposed new Resolution is in</w:t>
            </w:r>
            <w:r w:rsidRPr="00422F86">
              <w:rPr>
                <w:rFonts w:hint="eastAsia"/>
                <w:szCs w:val="20"/>
              </w:rPr>
              <w:t xml:space="preserve"> </w:t>
            </w:r>
            <w:r w:rsidRPr="00422F86">
              <w:rPr>
                <w:szCs w:val="20"/>
              </w:rPr>
              <w:t>accordance with Approach B of Method B contained in the draft CPM text;</w:t>
            </w:r>
          </w:p>
          <w:p w14:paraId="6703021C" w14:textId="77777777" w:rsidR="0014329D" w:rsidRDefault="0014329D" w:rsidP="0014329D">
            <w:pPr>
              <w:jc w:val="left"/>
              <w:rPr>
                <w:szCs w:val="20"/>
              </w:rPr>
            </w:pPr>
            <w:r w:rsidRPr="00422F86">
              <w:rPr>
                <w:szCs w:val="20"/>
              </w:rPr>
              <w:t xml:space="preserve">2)  </w:t>
            </w:r>
            <w:r w:rsidR="00422F86">
              <w:rPr>
                <w:rFonts w:hint="eastAsia"/>
                <w:szCs w:val="20"/>
                <w:lang w:eastAsia="zh-CN"/>
              </w:rPr>
              <w:t>P</w:t>
            </w:r>
            <w:r w:rsidRPr="00422F86">
              <w:rPr>
                <w:szCs w:val="20"/>
              </w:rPr>
              <w:t>roposed new provision to Article 43 of the RR provides the necessary reference within the Radio Regulations to the above proposed new Resolution.</w:t>
            </w:r>
          </w:p>
          <w:p w14:paraId="006B7641" w14:textId="4C770CBB" w:rsidR="006D5EA8" w:rsidRPr="0014329D" w:rsidRDefault="006D5EA8" w:rsidP="0014329D">
            <w:pPr>
              <w:jc w:val="left"/>
              <w:rPr>
                <w:rFonts w:eastAsia="Malgun Gothic" w:cstheme="minorHAnsi"/>
                <w:b/>
                <w:sz w:val="18"/>
                <w:szCs w:val="18"/>
              </w:rPr>
            </w:pPr>
            <w:r>
              <w:t xml:space="preserve">3) </w:t>
            </w:r>
            <w:r w:rsidRPr="00831305">
              <w:t xml:space="preserve">The proposed approach clarifies </w:t>
            </w:r>
            <w:r w:rsidRPr="00831305">
              <w:lastRenderedPageBreak/>
              <w:t>that stations on-board sub-orbital vehicles may be terrestrial station or earth station or both, and can be used in all phases of flight maintaining the same class of station within their respective service allocation</w:t>
            </w:r>
            <w:r>
              <w:t>.</w:t>
            </w:r>
          </w:p>
        </w:tc>
        <w:tc>
          <w:tcPr>
            <w:tcW w:w="1555" w:type="dxa"/>
          </w:tcPr>
          <w:p w14:paraId="35A4450D" w14:textId="0A187E6B" w:rsidR="0008691A" w:rsidRPr="00422F86" w:rsidRDefault="0008691A" w:rsidP="0014329D">
            <w:pPr>
              <w:jc w:val="left"/>
              <w:rPr>
                <w:rFonts w:eastAsia="Malgun Gothic"/>
                <w:szCs w:val="20"/>
              </w:rPr>
            </w:pPr>
            <w:r w:rsidRPr="00422F86">
              <w:rPr>
                <w:szCs w:val="20"/>
              </w:rPr>
              <w:lastRenderedPageBreak/>
              <w:t>The RCC Administrations consider the need to proceed with the studies under possible agenda item of WRC-27 based on modified Resolution 772 (WRC-19)</w:t>
            </w:r>
          </w:p>
        </w:tc>
      </w:tr>
      <w:tr w:rsidR="006C7438" w:rsidRPr="00D93A66" w14:paraId="4BE79017" w14:textId="77777777" w:rsidTr="00422F86">
        <w:tc>
          <w:tcPr>
            <w:tcW w:w="11052" w:type="dxa"/>
            <w:gridSpan w:val="14"/>
          </w:tcPr>
          <w:p w14:paraId="7E883F0B" w14:textId="77777777" w:rsidR="006C7438" w:rsidRPr="006C7438" w:rsidRDefault="006C7438" w:rsidP="006C7438">
            <w:pPr>
              <w:jc w:val="left"/>
              <w:rPr>
                <w:rFonts w:cstheme="minorHAnsi"/>
                <w:b/>
                <w:sz w:val="24"/>
                <w:szCs w:val="24"/>
              </w:rPr>
            </w:pPr>
          </w:p>
        </w:tc>
      </w:tr>
      <w:tr w:rsidR="0077095D" w:rsidRPr="00D93A66" w14:paraId="5C47DABA" w14:textId="77777777" w:rsidTr="00422F86">
        <w:tc>
          <w:tcPr>
            <w:tcW w:w="11052" w:type="dxa"/>
            <w:gridSpan w:val="14"/>
          </w:tcPr>
          <w:p w14:paraId="0D8FAF61" w14:textId="77777777" w:rsidR="0077095D" w:rsidRPr="007E7577" w:rsidRDefault="007E7577" w:rsidP="006C7438">
            <w:pPr>
              <w:pStyle w:val="a8"/>
              <w:numPr>
                <w:ilvl w:val="0"/>
                <w:numId w:val="4"/>
              </w:numPr>
              <w:jc w:val="left"/>
              <w:rPr>
                <w:rFonts w:cstheme="minorHAnsi"/>
                <w:b/>
                <w:sz w:val="28"/>
                <w:szCs w:val="28"/>
              </w:rPr>
            </w:pPr>
            <w:r>
              <w:rPr>
                <w:rFonts w:cstheme="minorHAnsi"/>
                <w:b/>
                <w:sz w:val="28"/>
                <w:szCs w:val="28"/>
              </w:rPr>
              <w:t>Summary of discussion</w:t>
            </w:r>
            <w:r w:rsidR="00FE6D23">
              <w:rPr>
                <w:rFonts w:cstheme="minorHAnsi"/>
                <w:b/>
                <w:sz w:val="28"/>
                <w:szCs w:val="28"/>
              </w:rPr>
              <w:t>s</w:t>
            </w:r>
            <w:r>
              <w:rPr>
                <w:rFonts w:cstheme="minorHAnsi"/>
                <w:b/>
                <w:sz w:val="28"/>
                <w:szCs w:val="28"/>
              </w:rPr>
              <w:t xml:space="preserve"> during CPM23-</w:t>
            </w:r>
            <w:r w:rsidR="00580AA6">
              <w:rPr>
                <w:rFonts w:cstheme="minorHAnsi"/>
                <w:b/>
                <w:sz w:val="28"/>
                <w:szCs w:val="28"/>
              </w:rPr>
              <w:t>2</w:t>
            </w:r>
          </w:p>
        </w:tc>
      </w:tr>
      <w:tr w:rsidR="006C7438" w:rsidRPr="00D93A66" w14:paraId="6A824FFB" w14:textId="77777777" w:rsidTr="00422F86">
        <w:tc>
          <w:tcPr>
            <w:tcW w:w="2957" w:type="dxa"/>
            <w:gridSpan w:val="5"/>
          </w:tcPr>
          <w:p w14:paraId="4B9EFE24" w14:textId="77777777" w:rsidR="006C7438" w:rsidRPr="006C7438" w:rsidRDefault="006C7438" w:rsidP="006C7438">
            <w:pPr>
              <w:jc w:val="left"/>
              <w:rPr>
                <w:rFonts w:cstheme="minorHAnsi"/>
                <w:b/>
                <w:sz w:val="24"/>
                <w:szCs w:val="24"/>
              </w:rPr>
            </w:pPr>
            <w:r w:rsidRPr="006C7438">
              <w:rPr>
                <w:rFonts w:cstheme="minorHAnsi"/>
                <w:b/>
                <w:sz w:val="24"/>
                <w:szCs w:val="24"/>
              </w:rPr>
              <w:t>Working documents</w:t>
            </w:r>
            <w:r>
              <w:rPr>
                <w:rFonts w:cstheme="minorHAnsi"/>
                <w:b/>
                <w:sz w:val="24"/>
                <w:szCs w:val="24"/>
              </w:rPr>
              <w:t>/</w:t>
            </w:r>
            <w:r w:rsidRPr="006C7438">
              <w:rPr>
                <w:rFonts w:cstheme="minorHAnsi"/>
                <w:b/>
                <w:sz w:val="24"/>
                <w:szCs w:val="24"/>
              </w:rPr>
              <w:t>TEMPs</w:t>
            </w:r>
            <w:r>
              <w:rPr>
                <w:rFonts w:cstheme="minorHAnsi"/>
                <w:b/>
                <w:sz w:val="24"/>
                <w:szCs w:val="24"/>
              </w:rPr>
              <w:t xml:space="preserve"> </w:t>
            </w:r>
            <w:proofErr w:type="spellStart"/>
            <w:r>
              <w:rPr>
                <w:rFonts w:cstheme="minorHAnsi"/>
                <w:b/>
                <w:sz w:val="24"/>
                <w:szCs w:val="24"/>
              </w:rPr>
              <w:t>etc</w:t>
            </w:r>
            <w:proofErr w:type="spellEnd"/>
          </w:p>
        </w:tc>
        <w:tc>
          <w:tcPr>
            <w:tcW w:w="8095" w:type="dxa"/>
            <w:gridSpan w:val="9"/>
          </w:tcPr>
          <w:p w14:paraId="06A25B69" w14:textId="5126BB47" w:rsidR="00B304C3" w:rsidRPr="00B304C3" w:rsidRDefault="00B304C3" w:rsidP="005E3CFD">
            <w:pPr>
              <w:ind w:firstLineChars="100" w:firstLine="240"/>
              <w:jc w:val="left"/>
              <w:rPr>
                <w:rFonts w:cstheme="minorHAnsi"/>
                <w:bCs/>
                <w:sz w:val="24"/>
                <w:szCs w:val="24"/>
              </w:rPr>
            </w:pPr>
            <w:hyperlink r:id="rId12" w:history="1">
              <w:r w:rsidRPr="00B304C3">
                <w:rPr>
                  <w:rStyle w:val="aa"/>
                  <w:sz w:val="24"/>
                  <w:szCs w:val="24"/>
                </w:rPr>
                <w:t>21 (CAN)</w:t>
              </w:r>
            </w:hyperlink>
            <w:r w:rsidRPr="00B304C3">
              <w:rPr>
                <w:sz w:val="24"/>
                <w:szCs w:val="24"/>
              </w:rPr>
              <w:t xml:space="preserve">, </w:t>
            </w:r>
            <w:hyperlink r:id="rId13" w:history="1">
              <w:r w:rsidRPr="00B304C3">
                <w:rPr>
                  <w:rStyle w:val="aa"/>
                  <w:sz w:val="24"/>
                  <w:szCs w:val="24"/>
                </w:rPr>
                <w:t>76 (CHN)</w:t>
              </w:r>
            </w:hyperlink>
            <w:r w:rsidRPr="00B304C3">
              <w:rPr>
                <w:sz w:val="24"/>
                <w:szCs w:val="24"/>
              </w:rPr>
              <w:t xml:space="preserve">, </w:t>
            </w:r>
            <w:hyperlink r:id="rId14" w:history="1">
              <w:r w:rsidRPr="00B304C3">
                <w:rPr>
                  <w:rStyle w:val="aa"/>
                  <w:sz w:val="24"/>
                  <w:szCs w:val="24"/>
                </w:rPr>
                <w:t>89 (RUS)</w:t>
              </w:r>
            </w:hyperlink>
            <w:r w:rsidRPr="00B304C3">
              <w:rPr>
                <w:sz w:val="24"/>
                <w:szCs w:val="24"/>
              </w:rPr>
              <w:t xml:space="preserve">, </w:t>
            </w:r>
            <w:hyperlink r:id="rId15" w:history="1">
              <w:r w:rsidRPr="00B304C3">
                <w:rPr>
                  <w:rStyle w:val="aa"/>
                  <w:sz w:val="24"/>
                  <w:szCs w:val="24"/>
                </w:rPr>
                <w:t>112 (IRN)</w:t>
              </w:r>
            </w:hyperlink>
            <w:r w:rsidRPr="00B304C3">
              <w:rPr>
                <w:sz w:val="24"/>
                <w:szCs w:val="24"/>
              </w:rPr>
              <w:t xml:space="preserve">, </w:t>
            </w:r>
            <w:hyperlink r:id="rId16" w:history="1">
              <w:r w:rsidRPr="00B304C3">
                <w:rPr>
                  <w:rStyle w:val="aa"/>
                  <w:sz w:val="24"/>
                  <w:szCs w:val="24"/>
                </w:rPr>
                <w:t>129 (F)</w:t>
              </w:r>
            </w:hyperlink>
            <w:r w:rsidRPr="00B304C3">
              <w:rPr>
                <w:sz w:val="24"/>
                <w:szCs w:val="24"/>
              </w:rPr>
              <w:t xml:space="preserve">, </w:t>
            </w:r>
            <w:hyperlink r:id="rId17" w:history="1">
              <w:r w:rsidRPr="00B304C3">
                <w:rPr>
                  <w:rStyle w:val="aa"/>
                  <w:sz w:val="24"/>
                  <w:szCs w:val="24"/>
                </w:rPr>
                <w:t>148 (Inmarsat)</w:t>
              </w:r>
            </w:hyperlink>
            <w:r w:rsidRPr="00B304C3">
              <w:rPr>
                <w:sz w:val="24"/>
                <w:szCs w:val="24"/>
              </w:rPr>
              <w:t xml:space="preserve">, </w:t>
            </w:r>
            <w:hyperlink r:id="rId18" w:history="1">
              <w:r w:rsidRPr="00B304C3">
                <w:rPr>
                  <w:rStyle w:val="aa"/>
                  <w:sz w:val="24"/>
                  <w:szCs w:val="24"/>
                </w:rPr>
                <w:t>154 (USA)</w:t>
              </w:r>
            </w:hyperlink>
          </w:p>
          <w:p w14:paraId="2D888C7D" w14:textId="10401CED" w:rsidR="006C7438" w:rsidRPr="0077095D" w:rsidRDefault="005E3CFD" w:rsidP="005E3CFD">
            <w:pPr>
              <w:ind w:firstLineChars="100" w:firstLine="240"/>
              <w:jc w:val="left"/>
              <w:rPr>
                <w:rFonts w:cstheme="minorHAnsi"/>
                <w:bCs/>
                <w:sz w:val="24"/>
                <w:szCs w:val="24"/>
              </w:rPr>
            </w:pPr>
            <w:hyperlink r:id="rId19" w:history="1">
              <w:r w:rsidRPr="005E3CFD">
                <w:rPr>
                  <w:rStyle w:val="aa"/>
                  <w:rFonts w:cstheme="minorHAnsi"/>
                  <w:bCs/>
                  <w:sz w:val="24"/>
                  <w:szCs w:val="24"/>
                </w:rPr>
                <w:t>TD12</w:t>
              </w:r>
            </w:hyperlink>
            <w:r>
              <w:rPr>
                <w:rFonts w:cstheme="minorHAnsi"/>
                <w:bCs/>
                <w:sz w:val="24"/>
                <w:szCs w:val="24"/>
              </w:rPr>
              <w:t xml:space="preserve"> </w:t>
            </w:r>
          </w:p>
        </w:tc>
      </w:tr>
      <w:tr w:rsidR="006C7438" w:rsidRPr="00D93A66" w14:paraId="407C10AB" w14:textId="77777777" w:rsidTr="00422F86">
        <w:tc>
          <w:tcPr>
            <w:tcW w:w="11052" w:type="dxa"/>
            <w:gridSpan w:val="14"/>
          </w:tcPr>
          <w:p w14:paraId="24432F58" w14:textId="77777777" w:rsidR="006C7438" w:rsidRDefault="006C7438" w:rsidP="00C61C3A">
            <w:pPr>
              <w:jc w:val="center"/>
              <w:rPr>
                <w:rFonts w:cstheme="minorHAnsi"/>
                <w:bCs/>
                <w:sz w:val="24"/>
                <w:szCs w:val="24"/>
              </w:rPr>
            </w:pPr>
            <w:r>
              <w:rPr>
                <w:rFonts w:cstheme="minorHAnsi"/>
                <w:bCs/>
                <w:sz w:val="24"/>
                <w:szCs w:val="24"/>
              </w:rPr>
              <w:t>[identify key developments during discussions]</w:t>
            </w:r>
          </w:p>
        </w:tc>
      </w:tr>
      <w:tr w:rsidR="007E7577" w:rsidRPr="00D93A66" w14:paraId="596DFC1D" w14:textId="77777777" w:rsidTr="00422F86">
        <w:tc>
          <w:tcPr>
            <w:tcW w:w="11052" w:type="dxa"/>
            <w:gridSpan w:val="14"/>
          </w:tcPr>
          <w:p w14:paraId="1605CB32" w14:textId="77777777" w:rsidR="007E7577" w:rsidRDefault="007E7577" w:rsidP="00FF7C5F">
            <w:pPr>
              <w:rPr>
                <w:rFonts w:eastAsia="Malgun Gothic" w:cstheme="minorHAnsi"/>
                <w:bCs/>
                <w:sz w:val="24"/>
                <w:szCs w:val="24"/>
              </w:rPr>
            </w:pPr>
          </w:p>
          <w:p w14:paraId="7638403D" w14:textId="5963A381" w:rsidR="00FF7C5F" w:rsidRPr="005E3CFD" w:rsidRDefault="005E3CFD" w:rsidP="005E3CFD">
            <w:pPr>
              <w:pStyle w:val="a8"/>
              <w:numPr>
                <w:ilvl w:val="0"/>
                <w:numId w:val="6"/>
              </w:numPr>
              <w:rPr>
                <w:rFonts w:cstheme="minorHAnsi" w:hint="eastAsia"/>
                <w:bCs/>
                <w:sz w:val="24"/>
                <w:szCs w:val="24"/>
                <w:lang w:eastAsia="zh-CN"/>
              </w:rPr>
            </w:pPr>
            <w:r>
              <w:rPr>
                <w:rFonts w:cstheme="minorHAnsi" w:hint="eastAsia"/>
                <w:bCs/>
                <w:sz w:val="24"/>
                <w:szCs w:val="24"/>
                <w:lang w:eastAsia="zh-CN"/>
              </w:rPr>
              <w:t>A</w:t>
            </w:r>
            <w:r>
              <w:rPr>
                <w:rFonts w:cstheme="minorHAnsi"/>
                <w:bCs/>
                <w:sz w:val="24"/>
                <w:szCs w:val="24"/>
                <w:lang w:eastAsia="zh-CN"/>
              </w:rPr>
              <w:t xml:space="preserve"> new Method (Method C) was proposed by Russian Federation. </w:t>
            </w:r>
            <w:r w:rsidRPr="005E3CFD">
              <w:rPr>
                <w:rFonts w:cstheme="minorHAnsi"/>
                <w:bCs/>
                <w:sz w:val="24"/>
                <w:szCs w:val="24"/>
                <w:lang w:eastAsia="zh-CN"/>
              </w:rPr>
              <w:t xml:space="preserve"> </w:t>
            </w:r>
            <w:r w:rsidRPr="005E3CFD">
              <w:rPr>
                <w:rFonts w:cstheme="minorHAnsi"/>
                <w:bCs/>
                <w:sz w:val="24"/>
                <w:szCs w:val="24"/>
                <w:lang w:eastAsia="zh-CN"/>
              </w:rPr>
              <w:t>This Method provides for the revision of Resolution 772 (WRC-19) in order to clarify the list of possible interference scenarios, including scenarios for the use of ground/earth stations on board a sub-orbital vehicle in a section of its flight path passing in outer space, as well as the completion of compatibility studies provided for in “resolves 2” of this Resolution.</w:t>
            </w:r>
            <w:r>
              <w:rPr>
                <w:rFonts w:cstheme="minorHAnsi"/>
                <w:bCs/>
                <w:sz w:val="24"/>
                <w:szCs w:val="24"/>
                <w:lang w:eastAsia="zh-CN"/>
              </w:rPr>
              <w:t xml:space="preserve"> </w:t>
            </w:r>
          </w:p>
          <w:p w14:paraId="559A4D83" w14:textId="04847A8F" w:rsidR="00FF7C5F" w:rsidRDefault="005E3CFD" w:rsidP="00DC5DC2">
            <w:pPr>
              <w:pStyle w:val="a8"/>
              <w:numPr>
                <w:ilvl w:val="0"/>
                <w:numId w:val="6"/>
              </w:numPr>
              <w:rPr>
                <w:rFonts w:cstheme="minorHAnsi"/>
                <w:bCs/>
                <w:sz w:val="24"/>
                <w:szCs w:val="24"/>
                <w:lang w:eastAsia="zh-CN"/>
              </w:rPr>
            </w:pPr>
            <w:r>
              <w:rPr>
                <w:rFonts w:cstheme="minorHAnsi" w:hint="eastAsia"/>
                <w:bCs/>
                <w:sz w:val="24"/>
                <w:szCs w:val="24"/>
                <w:lang w:eastAsia="zh-CN"/>
              </w:rPr>
              <w:t>A</w:t>
            </w:r>
            <w:r>
              <w:rPr>
                <w:rFonts w:cstheme="minorHAnsi"/>
                <w:bCs/>
                <w:sz w:val="24"/>
                <w:szCs w:val="24"/>
                <w:lang w:eastAsia="zh-CN"/>
              </w:rPr>
              <w:t xml:space="preserve"> new </w:t>
            </w:r>
            <w:r>
              <w:rPr>
                <w:rFonts w:cstheme="minorHAnsi" w:hint="eastAsia"/>
                <w:bCs/>
                <w:sz w:val="24"/>
                <w:szCs w:val="24"/>
                <w:lang w:eastAsia="zh-CN"/>
              </w:rPr>
              <w:t>Approach</w:t>
            </w:r>
            <w:r>
              <w:rPr>
                <w:rFonts w:cstheme="minorHAnsi"/>
                <w:bCs/>
                <w:sz w:val="24"/>
                <w:szCs w:val="24"/>
                <w:lang w:eastAsia="zh-CN"/>
              </w:rPr>
              <w:t xml:space="preserve"> </w:t>
            </w:r>
            <w:r>
              <w:rPr>
                <w:rFonts w:cstheme="minorHAnsi" w:hint="eastAsia"/>
                <w:bCs/>
                <w:sz w:val="24"/>
                <w:szCs w:val="24"/>
                <w:lang w:eastAsia="zh-CN"/>
              </w:rPr>
              <w:t>in</w:t>
            </w:r>
            <w:r>
              <w:rPr>
                <w:rFonts w:cstheme="minorHAnsi"/>
                <w:bCs/>
                <w:sz w:val="24"/>
                <w:szCs w:val="24"/>
                <w:lang w:eastAsia="zh-CN"/>
              </w:rPr>
              <w:t xml:space="preserve"> </w:t>
            </w:r>
            <w:r>
              <w:rPr>
                <w:rFonts w:cstheme="minorHAnsi" w:hint="eastAsia"/>
                <w:bCs/>
                <w:sz w:val="24"/>
                <w:szCs w:val="24"/>
                <w:lang w:eastAsia="zh-CN"/>
              </w:rPr>
              <w:t>meth</w:t>
            </w:r>
            <w:r>
              <w:rPr>
                <w:rFonts w:cstheme="minorHAnsi"/>
                <w:bCs/>
                <w:sz w:val="24"/>
                <w:szCs w:val="24"/>
                <w:lang w:eastAsia="zh-CN"/>
              </w:rPr>
              <w:t xml:space="preserve">od B </w:t>
            </w:r>
            <w:r>
              <w:rPr>
                <w:rFonts w:cstheme="minorHAnsi"/>
                <w:bCs/>
                <w:sz w:val="24"/>
                <w:szCs w:val="24"/>
                <w:lang w:eastAsia="zh-CN"/>
              </w:rPr>
              <w:t>(</w:t>
            </w:r>
            <w:r>
              <w:rPr>
                <w:rFonts w:cstheme="minorHAnsi" w:hint="eastAsia"/>
                <w:bCs/>
                <w:sz w:val="24"/>
                <w:szCs w:val="24"/>
                <w:lang w:eastAsia="zh-CN"/>
              </w:rPr>
              <w:t xml:space="preserve"> </w:t>
            </w:r>
            <w:r>
              <w:rPr>
                <w:rFonts w:cstheme="minorHAnsi" w:hint="eastAsia"/>
                <w:bCs/>
                <w:sz w:val="24"/>
                <w:szCs w:val="24"/>
                <w:lang w:eastAsia="zh-CN"/>
              </w:rPr>
              <w:t>Approach</w:t>
            </w:r>
            <w:r>
              <w:rPr>
                <w:rFonts w:cstheme="minorHAnsi"/>
                <w:bCs/>
                <w:sz w:val="24"/>
                <w:szCs w:val="24"/>
                <w:lang w:eastAsia="zh-CN"/>
              </w:rPr>
              <w:t xml:space="preserve"> </w:t>
            </w:r>
            <w:r>
              <w:rPr>
                <w:rFonts w:cstheme="minorHAnsi" w:hint="eastAsia"/>
                <w:bCs/>
                <w:sz w:val="24"/>
                <w:szCs w:val="24"/>
                <w:lang w:eastAsia="zh-CN"/>
              </w:rPr>
              <w:t>D</w:t>
            </w:r>
            <w:r>
              <w:rPr>
                <w:rFonts w:cstheme="minorHAnsi"/>
                <w:bCs/>
                <w:sz w:val="24"/>
                <w:szCs w:val="24"/>
                <w:lang w:eastAsia="zh-CN"/>
              </w:rPr>
              <w:t xml:space="preserve">) was proposed by </w:t>
            </w:r>
            <w:r>
              <w:rPr>
                <w:rFonts w:cstheme="minorHAnsi"/>
                <w:bCs/>
                <w:sz w:val="24"/>
                <w:szCs w:val="24"/>
                <w:lang w:eastAsia="zh-CN"/>
              </w:rPr>
              <w:t>China</w:t>
            </w:r>
            <w:r w:rsidR="00DC5DC2">
              <w:rPr>
                <w:rFonts w:cstheme="minorHAnsi"/>
                <w:bCs/>
                <w:sz w:val="24"/>
                <w:szCs w:val="24"/>
                <w:lang w:eastAsia="zh-CN"/>
              </w:rPr>
              <w:t xml:space="preserve">. </w:t>
            </w:r>
            <w:r w:rsidR="00DC5DC2" w:rsidRPr="005E3CFD">
              <w:rPr>
                <w:rFonts w:cstheme="minorHAnsi"/>
                <w:bCs/>
                <w:sz w:val="24"/>
                <w:szCs w:val="24"/>
                <w:lang w:eastAsia="zh-CN"/>
              </w:rPr>
              <w:t xml:space="preserve"> </w:t>
            </w:r>
            <w:r w:rsidR="00DC5DC2" w:rsidRPr="005E3CFD">
              <w:rPr>
                <w:rFonts w:cstheme="minorHAnsi"/>
                <w:bCs/>
                <w:sz w:val="24"/>
                <w:szCs w:val="24"/>
                <w:lang w:eastAsia="zh-CN"/>
              </w:rPr>
              <w:t xml:space="preserve">This </w:t>
            </w:r>
            <w:r w:rsidR="00DC5DC2">
              <w:rPr>
                <w:rFonts w:cstheme="minorHAnsi"/>
                <w:bCs/>
                <w:sz w:val="24"/>
                <w:szCs w:val="24"/>
                <w:lang w:eastAsia="zh-CN"/>
              </w:rPr>
              <w:t xml:space="preserve">Approach </w:t>
            </w:r>
            <w:r w:rsidR="00DC5DC2">
              <w:rPr>
                <w:rFonts w:cstheme="minorHAnsi" w:hint="eastAsia"/>
                <w:bCs/>
                <w:sz w:val="24"/>
                <w:szCs w:val="24"/>
                <w:lang w:eastAsia="zh-CN"/>
              </w:rPr>
              <w:t>pro</w:t>
            </w:r>
            <w:r w:rsidR="00DC5DC2">
              <w:rPr>
                <w:rFonts w:cstheme="minorHAnsi"/>
                <w:bCs/>
                <w:sz w:val="24"/>
                <w:szCs w:val="24"/>
                <w:lang w:eastAsia="zh-CN"/>
              </w:rPr>
              <w:t>vides</w:t>
            </w:r>
            <w:r w:rsidR="00DC5DC2" w:rsidRPr="00DC5DC2">
              <w:rPr>
                <w:rFonts w:cstheme="minorHAnsi"/>
                <w:bCs/>
                <w:sz w:val="24"/>
                <w:szCs w:val="24"/>
                <w:lang w:eastAsia="zh-CN"/>
              </w:rPr>
              <w:t xml:space="preserve"> </w:t>
            </w:r>
            <w:r w:rsidR="00DC5DC2" w:rsidRPr="00DC5DC2">
              <w:rPr>
                <w:rFonts w:cstheme="minorHAnsi"/>
                <w:bCs/>
                <w:sz w:val="24"/>
                <w:szCs w:val="24"/>
                <w:lang w:eastAsia="zh-CN"/>
              </w:rPr>
              <w:t>description of sub-orbital flight and sub-orbital vehicle</w:t>
            </w:r>
            <w:r w:rsidR="00DC5DC2">
              <w:rPr>
                <w:rFonts w:cstheme="minorHAnsi"/>
                <w:bCs/>
                <w:sz w:val="24"/>
                <w:szCs w:val="24"/>
                <w:lang w:eastAsia="zh-CN"/>
              </w:rPr>
              <w:t xml:space="preserve"> and </w:t>
            </w:r>
            <w:r w:rsidR="00DC5DC2" w:rsidRPr="00DC5DC2">
              <w:rPr>
                <w:rFonts w:cstheme="minorHAnsi"/>
                <w:bCs/>
                <w:sz w:val="24"/>
                <w:szCs w:val="24"/>
                <w:lang w:eastAsia="zh-CN"/>
              </w:rPr>
              <w:t>identifies</w:t>
            </w:r>
            <w:r w:rsidR="00DC5DC2" w:rsidRPr="00DC5DC2">
              <w:rPr>
                <w:rFonts w:cstheme="minorHAnsi"/>
                <w:bCs/>
                <w:sz w:val="24"/>
                <w:szCs w:val="24"/>
                <w:lang w:eastAsia="zh-CN"/>
              </w:rPr>
              <w:t xml:space="preserve"> the specific services in which sub-orbital vehicles may operate (AM(R)S, MSS, RNSS and potentially others) and to clarify that stations onboard sub-orbital vehicles may operate as terrestrial/aircraft stations or earth stations in those services. The RR No. 4.4 shall be applied when the </w:t>
            </w:r>
            <w:r w:rsidR="00DC5DC2">
              <w:rPr>
                <w:rFonts w:cstheme="minorHAnsi"/>
                <w:bCs/>
                <w:sz w:val="24"/>
                <w:szCs w:val="24"/>
                <w:lang w:eastAsia="zh-CN"/>
              </w:rPr>
              <w:t xml:space="preserve">some </w:t>
            </w:r>
            <w:r w:rsidR="00DC5DC2" w:rsidRPr="00DC5DC2">
              <w:rPr>
                <w:rFonts w:cstheme="minorHAnsi"/>
                <w:bCs/>
                <w:sz w:val="24"/>
                <w:szCs w:val="24"/>
                <w:lang w:eastAsia="zh-CN"/>
              </w:rPr>
              <w:t xml:space="preserve">above services are used by stations onboard sub-orbital vehicles </w:t>
            </w:r>
            <w:bookmarkStart w:id="0" w:name="_Hlk128126683"/>
            <w:r w:rsidR="00DC5DC2" w:rsidRPr="00DC5DC2">
              <w:rPr>
                <w:rFonts w:cstheme="minorHAnsi"/>
                <w:bCs/>
                <w:sz w:val="24"/>
                <w:szCs w:val="24"/>
                <w:lang w:eastAsia="zh-CN"/>
              </w:rPr>
              <w:t>beyond the major portion of the atmosphere</w:t>
            </w:r>
            <w:bookmarkEnd w:id="0"/>
            <w:r w:rsidR="00DC5DC2">
              <w:rPr>
                <w:rFonts w:cstheme="minorHAnsi"/>
                <w:bCs/>
                <w:sz w:val="24"/>
                <w:szCs w:val="24"/>
                <w:lang w:eastAsia="zh-CN"/>
              </w:rPr>
              <w:t>.</w:t>
            </w:r>
          </w:p>
          <w:p w14:paraId="375C3960" w14:textId="47C4C66D" w:rsidR="00FF7C5F" w:rsidRPr="00445690" w:rsidRDefault="00DC5DC2" w:rsidP="00FF7C5F">
            <w:pPr>
              <w:pStyle w:val="a8"/>
              <w:numPr>
                <w:ilvl w:val="0"/>
                <w:numId w:val="6"/>
              </w:numPr>
              <w:rPr>
                <w:rFonts w:cstheme="minorHAnsi"/>
                <w:bCs/>
                <w:sz w:val="24"/>
                <w:szCs w:val="24"/>
                <w:lang w:eastAsia="zh-CN"/>
              </w:rPr>
            </w:pPr>
            <w:r>
              <w:rPr>
                <w:rFonts w:cstheme="minorHAnsi"/>
                <w:bCs/>
                <w:sz w:val="24"/>
                <w:szCs w:val="24"/>
                <w:lang w:eastAsia="zh-CN"/>
              </w:rPr>
              <w:t xml:space="preserve">Approach B in </w:t>
            </w:r>
            <w:r>
              <w:rPr>
                <w:rFonts w:cstheme="minorHAnsi" w:hint="eastAsia"/>
                <w:bCs/>
                <w:sz w:val="24"/>
                <w:szCs w:val="24"/>
                <w:lang w:eastAsia="zh-CN"/>
              </w:rPr>
              <w:t>M</w:t>
            </w:r>
            <w:r>
              <w:rPr>
                <w:rFonts w:cstheme="minorHAnsi"/>
                <w:bCs/>
                <w:sz w:val="24"/>
                <w:szCs w:val="24"/>
                <w:lang w:eastAsia="zh-CN"/>
              </w:rPr>
              <w:t>ethod B</w:t>
            </w:r>
            <w:r w:rsidR="00567AF7">
              <w:rPr>
                <w:rFonts w:cstheme="minorHAnsi"/>
                <w:bCs/>
                <w:sz w:val="24"/>
                <w:szCs w:val="24"/>
                <w:lang w:eastAsia="zh-CN"/>
              </w:rPr>
              <w:t xml:space="preserve"> states that </w:t>
            </w:r>
            <w:r w:rsidR="00445690" w:rsidRPr="00445690">
              <w:rPr>
                <w:rFonts w:cstheme="minorHAnsi"/>
                <w:bCs/>
                <w:sz w:val="24"/>
                <w:szCs w:val="24"/>
                <w:lang w:eastAsia="zh-CN"/>
              </w:rPr>
              <w:t>the stations onboard sub-orbital vehicles referred to in resolves 1 shall not cause additional interference to nor claim additional protection from the existing applications of the same service and on other radiocommunication services in the same and adjacent frequency bands</w:t>
            </w:r>
            <w:r w:rsidR="00445690">
              <w:rPr>
                <w:rFonts w:cstheme="minorHAnsi" w:hint="eastAsia"/>
                <w:bCs/>
                <w:sz w:val="24"/>
                <w:szCs w:val="24"/>
                <w:lang w:eastAsia="zh-CN"/>
              </w:rPr>
              <w:t>.</w:t>
            </w:r>
          </w:p>
          <w:p w14:paraId="729857D2" w14:textId="67056902" w:rsidR="00FF7C5F" w:rsidRPr="005E3CFD" w:rsidRDefault="00FF7C5F" w:rsidP="00FF7C5F">
            <w:pPr>
              <w:rPr>
                <w:rFonts w:eastAsia="Malgun Gothic" w:cstheme="minorHAnsi"/>
                <w:bCs/>
                <w:sz w:val="24"/>
                <w:szCs w:val="24"/>
              </w:rPr>
            </w:pPr>
          </w:p>
        </w:tc>
      </w:tr>
      <w:tr w:rsidR="007E7577" w:rsidRPr="00D93A66" w14:paraId="6CD9B2C9" w14:textId="77777777" w:rsidTr="00422F86">
        <w:tc>
          <w:tcPr>
            <w:tcW w:w="11052" w:type="dxa"/>
            <w:gridSpan w:val="14"/>
          </w:tcPr>
          <w:p w14:paraId="6B6DC2DE" w14:textId="77777777" w:rsidR="007E7577" w:rsidRPr="007E7577" w:rsidRDefault="007E7577" w:rsidP="006C7438">
            <w:pPr>
              <w:pStyle w:val="a8"/>
              <w:numPr>
                <w:ilvl w:val="0"/>
                <w:numId w:val="4"/>
              </w:numPr>
              <w:jc w:val="left"/>
              <w:rPr>
                <w:rFonts w:cstheme="minorHAnsi"/>
                <w:bCs/>
                <w:sz w:val="24"/>
                <w:szCs w:val="24"/>
              </w:rPr>
            </w:pPr>
            <w:r w:rsidRPr="007E7577">
              <w:rPr>
                <w:rFonts w:cstheme="minorHAnsi"/>
                <w:b/>
                <w:sz w:val="28"/>
                <w:szCs w:val="28"/>
              </w:rPr>
              <w:t xml:space="preserve">Issue(s) which require </w:t>
            </w:r>
            <w:r w:rsidR="006C7438" w:rsidRPr="007E7577">
              <w:rPr>
                <w:rFonts w:cstheme="minorHAnsi"/>
                <w:b/>
                <w:sz w:val="28"/>
                <w:szCs w:val="28"/>
              </w:rPr>
              <w:t>discussion and</w:t>
            </w:r>
            <w:r w:rsidR="006C7438">
              <w:rPr>
                <w:rFonts w:cstheme="minorHAnsi"/>
                <w:b/>
                <w:sz w:val="28"/>
                <w:szCs w:val="28"/>
              </w:rPr>
              <w:t xml:space="preserve"> </w:t>
            </w:r>
            <w:r w:rsidR="006C7438" w:rsidRPr="007E7577">
              <w:rPr>
                <w:rFonts w:cstheme="minorHAnsi"/>
                <w:b/>
                <w:sz w:val="28"/>
                <w:szCs w:val="28"/>
              </w:rPr>
              <w:t xml:space="preserve">further guidance </w:t>
            </w:r>
            <w:r w:rsidRPr="007E7577">
              <w:rPr>
                <w:rFonts w:cstheme="minorHAnsi"/>
                <w:b/>
                <w:sz w:val="28"/>
                <w:szCs w:val="28"/>
              </w:rPr>
              <w:t xml:space="preserve">at APG Coordination meeting </w:t>
            </w:r>
          </w:p>
        </w:tc>
      </w:tr>
      <w:tr w:rsidR="007E7577" w:rsidRPr="00D93A66" w14:paraId="5B157F75" w14:textId="77777777" w:rsidTr="00422F86">
        <w:tc>
          <w:tcPr>
            <w:tcW w:w="11052" w:type="dxa"/>
            <w:gridSpan w:val="14"/>
          </w:tcPr>
          <w:p w14:paraId="092D1635" w14:textId="77777777" w:rsidR="007E7577" w:rsidRDefault="007E7577" w:rsidP="00FF7C5F">
            <w:pPr>
              <w:rPr>
                <w:rFonts w:eastAsia="Malgun Gothic" w:cstheme="minorHAnsi"/>
                <w:bCs/>
                <w:sz w:val="24"/>
                <w:szCs w:val="24"/>
              </w:rPr>
            </w:pPr>
          </w:p>
          <w:p w14:paraId="6CD7ECBF" w14:textId="3A5F1C3D" w:rsidR="00FF7C5F" w:rsidRPr="00061A04" w:rsidRDefault="00061A04" w:rsidP="00061A04">
            <w:pPr>
              <w:pStyle w:val="a8"/>
              <w:numPr>
                <w:ilvl w:val="0"/>
                <w:numId w:val="7"/>
              </w:numPr>
              <w:rPr>
                <w:rFonts w:eastAsia="Malgun Gothic" w:cstheme="minorHAnsi"/>
                <w:bCs/>
                <w:sz w:val="24"/>
                <w:szCs w:val="24"/>
              </w:rPr>
            </w:pPr>
            <w:r w:rsidRPr="00061A04">
              <w:rPr>
                <w:rFonts w:eastAsia="Malgun Gothic" w:cstheme="minorHAnsi"/>
                <w:bCs/>
                <w:sz w:val="24"/>
                <w:szCs w:val="24"/>
              </w:rPr>
              <w:t>D</w:t>
            </w:r>
            <w:r w:rsidRPr="00061A04">
              <w:rPr>
                <w:rFonts w:eastAsia="Malgun Gothic" w:cstheme="minorHAnsi" w:hint="eastAsia"/>
                <w:bCs/>
                <w:sz w:val="24"/>
                <w:szCs w:val="24"/>
              </w:rPr>
              <w:t>u</w:t>
            </w:r>
            <w:r w:rsidRPr="00061A04">
              <w:rPr>
                <w:rFonts w:eastAsia="Malgun Gothic" w:cstheme="minorHAnsi"/>
                <w:bCs/>
                <w:sz w:val="24"/>
                <w:szCs w:val="24"/>
              </w:rPr>
              <w:t xml:space="preserve">e to </w:t>
            </w:r>
            <w:r w:rsidRPr="00061A04">
              <w:rPr>
                <w:rFonts w:eastAsia="Malgun Gothic" w:cstheme="minorHAnsi"/>
                <w:bCs/>
                <w:sz w:val="24"/>
                <w:szCs w:val="24"/>
              </w:rPr>
              <w:t>the studies provided for in Resolution 772 (WRC-19) have not been fully completed</w:t>
            </w:r>
            <w:r w:rsidRPr="00061A04">
              <w:rPr>
                <w:rFonts w:eastAsia="Malgun Gothic" w:cstheme="minorHAnsi"/>
                <w:bCs/>
                <w:sz w:val="24"/>
                <w:szCs w:val="24"/>
              </w:rPr>
              <w:t xml:space="preserve"> during WRC-23 study cycle, </w:t>
            </w:r>
            <w:r>
              <w:rPr>
                <w:rFonts w:eastAsia="Malgun Gothic" w:cstheme="minorHAnsi"/>
                <w:bCs/>
                <w:sz w:val="24"/>
                <w:szCs w:val="24"/>
              </w:rPr>
              <w:t>w</w:t>
            </w:r>
            <w:r w:rsidRPr="00061A04">
              <w:rPr>
                <w:rFonts w:eastAsia="Malgun Gothic" w:cstheme="minorHAnsi"/>
                <w:bCs/>
                <w:sz w:val="24"/>
                <w:szCs w:val="24"/>
              </w:rPr>
              <w:t>hether</w:t>
            </w:r>
            <w:r w:rsidRPr="00061A04">
              <w:rPr>
                <w:rFonts w:eastAsia="Malgun Gothic" w:cstheme="minorHAnsi"/>
                <w:bCs/>
                <w:sz w:val="24"/>
                <w:szCs w:val="24"/>
              </w:rPr>
              <w:t xml:space="preserve"> further research is needed</w:t>
            </w:r>
            <w:r w:rsidRPr="00061A04">
              <w:rPr>
                <w:rFonts w:eastAsia="Malgun Gothic" w:cstheme="minorHAnsi"/>
                <w:bCs/>
                <w:sz w:val="24"/>
                <w:szCs w:val="24"/>
              </w:rPr>
              <w:t xml:space="preserve"> for this agenda item in WRC-27.</w:t>
            </w:r>
          </w:p>
          <w:p w14:paraId="308ABEE1" w14:textId="545DC19B" w:rsidR="00061A04" w:rsidRPr="00061A04" w:rsidRDefault="00061A04" w:rsidP="00061A04">
            <w:pPr>
              <w:pStyle w:val="a8"/>
              <w:numPr>
                <w:ilvl w:val="0"/>
                <w:numId w:val="7"/>
              </w:numPr>
              <w:rPr>
                <w:rFonts w:eastAsia="Malgun Gothic" w:cstheme="minorHAnsi" w:hint="eastAsia"/>
                <w:bCs/>
                <w:sz w:val="24"/>
                <w:szCs w:val="24"/>
              </w:rPr>
            </w:pPr>
            <w:r>
              <w:rPr>
                <w:rFonts w:cstheme="minorHAnsi"/>
                <w:bCs/>
                <w:sz w:val="24"/>
                <w:szCs w:val="24"/>
                <w:lang w:eastAsia="zh-CN"/>
              </w:rPr>
              <w:t>Whether t</w:t>
            </w:r>
            <w:r w:rsidRPr="00DC5DC2">
              <w:rPr>
                <w:rFonts w:cstheme="minorHAnsi"/>
                <w:bCs/>
                <w:sz w:val="24"/>
                <w:szCs w:val="24"/>
                <w:lang w:eastAsia="zh-CN"/>
              </w:rPr>
              <w:t xml:space="preserve">he RR No. 4.4 shall be applied when the </w:t>
            </w:r>
            <w:r w:rsidR="00500865">
              <w:rPr>
                <w:rFonts w:cstheme="minorHAnsi"/>
                <w:bCs/>
                <w:sz w:val="24"/>
                <w:szCs w:val="24"/>
                <w:lang w:eastAsia="zh-CN"/>
              </w:rPr>
              <w:t>corresponding</w:t>
            </w:r>
            <w:r w:rsidRPr="00DC5DC2">
              <w:rPr>
                <w:rFonts w:cstheme="minorHAnsi"/>
                <w:bCs/>
                <w:sz w:val="24"/>
                <w:szCs w:val="24"/>
                <w:lang w:eastAsia="zh-CN"/>
              </w:rPr>
              <w:t xml:space="preserve"> services are used by stations onboard sub-orbital vehicles beyond the major portion of the atmosphere</w:t>
            </w:r>
            <w:r>
              <w:rPr>
                <w:rFonts w:cstheme="minorHAnsi"/>
                <w:bCs/>
                <w:sz w:val="24"/>
                <w:szCs w:val="24"/>
                <w:lang w:eastAsia="zh-CN"/>
              </w:rPr>
              <w:t>.</w:t>
            </w:r>
          </w:p>
          <w:p w14:paraId="5588E95B" w14:textId="006D336F" w:rsidR="007C624C" w:rsidRPr="00500865" w:rsidRDefault="007C624C" w:rsidP="00FF7C5F">
            <w:pPr>
              <w:rPr>
                <w:rFonts w:eastAsia="Malgun Gothic" w:cstheme="minorHAnsi"/>
                <w:bCs/>
                <w:sz w:val="24"/>
                <w:szCs w:val="24"/>
              </w:rPr>
            </w:pPr>
          </w:p>
          <w:p w14:paraId="785AE7F6" w14:textId="5281C2E0" w:rsidR="007C624C" w:rsidRDefault="007C624C" w:rsidP="00FF7C5F">
            <w:pPr>
              <w:rPr>
                <w:rFonts w:eastAsia="Malgun Gothic" w:cstheme="minorHAnsi"/>
                <w:bCs/>
                <w:sz w:val="24"/>
                <w:szCs w:val="24"/>
              </w:rPr>
            </w:pPr>
          </w:p>
          <w:p w14:paraId="76ACB7D6" w14:textId="74A331E2" w:rsidR="00FF7C5F" w:rsidRPr="00FF7C5F" w:rsidRDefault="00FF7C5F" w:rsidP="00B304C3">
            <w:pPr>
              <w:rPr>
                <w:rFonts w:eastAsia="Malgun Gothic" w:cstheme="minorHAnsi"/>
                <w:bCs/>
                <w:sz w:val="24"/>
                <w:szCs w:val="24"/>
              </w:rPr>
            </w:pPr>
          </w:p>
        </w:tc>
      </w:tr>
    </w:tbl>
    <w:p w14:paraId="62C788F0" w14:textId="77777777" w:rsidR="009977D0" w:rsidRDefault="009977D0"/>
    <w:p w14:paraId="1BDD4C6F" w14:textId="77777777" w:rsidR="00D93A66" w:rsidRDefault="00D93A66"/>
    <w:p w14:paraId="13CA11B9" w14:textId="77777777" w:rsidR="00D93A66" w:rsidRDefault="00D93A66"/>
    <w:sectPr w:rsidR="00D93A66" w:rsidSect="00B466C9">
      <w:headerReference w:type="even" r:id="rId20"/>
      <w:headerReference w:type="default" r:id="rId21"/>
      <w:footerReference w:type="even" r:id="rId22"/>
      <w:footerReference w:type="default" r:id="rId23"/>
      <w:headerReference w:type="first" r:id="rId24"/>
      <w:footerReference w:type="first" r:id="rId25"/>
      <w:pgSz w:w="11906" w:h="16838"/>
      <w:pgMar w:top="720" w:right="510" w:bottom="72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DCB5" w14:textId="77777777" w:rsidR="00D44910" w:rsidRDefault="00D44910" w:rsidP="00D93A66">
      <w:pPr>
        <w:spacing w:after="0" w:line="240" w:lineRule="auto"/>
      </w:pPr>
      <w:r>
        <w:separator/>
      </w:r>
    </w:p>
  </w:endnote>
  <w:endnote w:type="continuationSeparator" w:id="0">
    <w:p w14:paraId="4C0F19AB" w14:textId="77777777" w:rsidR="00D44910" w:rsidRDefault="00D44910" w:rsidP="00D9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C8C0" w14:textId="77777777" w:rsidR="005462D5" w:rsidRDefault="005462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E169" w14:textId="77777777" w:rsidR="005462D5" w:rsidRDefault="005462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3A0B" w14:textId="77777777" w:rsidR="005462D5" w:rsidRDefault="00546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B8DF" w14:textId="77777777" w:rsidR="00D44910" w:rsidRDefault="00D44910" w:rsidP="00D93A66">
      <w:pPr>
        <w:spacing w:after="0" w:line="240" w:lineRule="auto"/>
      </w:pPr>
      <w:r>
        <w:separator/>
      </w:r>
    </w:p>
  </w:footnote>
  <w:footnote w:type="continuationSeparator" w:id="0">
    <w:p w14:paraId="12D753EB" w14:textId="77777777" w:rsidR="00D44910" w:rsidRDefault="00D44910" w:rsidP="00D9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201D" w14:textId="77777777" w:rsidR="005462D5" w:rsidRDefault="005462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0870" w14:textId="77777777" w:rsidR="00D93A66" w:rsidRDefault="00D93A66" w:rsidP="00D93A66">
    <w:pPr>
      <w:pStyle w:val="a3"/>
      <w:tabs>
        <w:tab w:val="clear" w:pos="4513"/>
        <w:tab w:val="clear" w:pos="9026"/>
        <w:tab w:val="left" w:pos="3594"/>
      </w:tabs>
      <w:jc w:val="center"/>
      <w:rPr>
        <w:b/>
        <w:bCs/>
        <w:sz w:val="28"/>
        <w:szCs w:val="28"/>
      </w:rPr>
    </w:pPr>
    <w:r w:rsidRPr="002C600C">
      <w:rPr>
        <w:b/>
        <w:bCs/>
        <w:sz w:val="28"/>
        <w:szCs w:val="28"/>
      </w:rPr>
      <w:t xml:space="preserve">Report of the </w:t>
    </w:r>
    <w:r w:rsidR="005462D5">
      <w:rPr>
        <w:b/>
        <w:bCs/>
        <w:sz w:val="28"/>
        <w:szCs w:val="28"/>
      </w:rPr>
      <w:t xml:space="preserve">APT </w:t>
    </w:r>
    <w:r w:rsidRPr="002C600C">
      <w:rPr>
        <w:b/>
        <w:bCs/>
        <w:sz w:val="28"/>
        <w:szCs w:val="28"/>
      </w:rPr>
      <w:t>Agenda Item Coordinator</w:t>
    </w:r>
  </w:p>
  <w:p w14:paraId="7459558D" w14:textId="77777777" w:rsidR="00E00EC9" w:rsidRPr="002C600C" w:rsidRDefault="00E00EC9" w:rsidP="00D93A66">
    <w:pPr>
      <w:pStyle w:val="a3"/>
      <w:tabs>
        <w:tab w:val="clear" w:pos="4513"/>
        <w:tab w:val="clear" w:pos="9026"/>
        <w:tab w:val="left" w:pos="3594"/>
      </w:tabs>
      <w:jc w:val="center"/>
      <w:rPr>
        <w:b/>
        <w:bCs/>
        <w:sz w:val="28"/>
        <w:szCs w:val="28"/>
      </w:rPr>
    </w:pPr>
    <w:r>
      <w:rPr>
        <w:b/>
        <w:bCs/>
        <w:sz w:val="28"/>
        <w:szCs w:val="28"/>
      </w:rPr>
      <w:t>CPM23-2</w:t>
    </w:r>
  </w:p>
  <w:p w14:paraId="2233EA26" w14:textId="77777777" w:rsidR="00D93A66" w:rsidRDefault="00D93A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5B1B" w14:textId="77777777" w:rsidR="005462D5" w:rsidRDefault="005462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D01"/>
    <w:multiLevelType w:val="hybridMultilevel"/>
    <w:tmpl w:val="4EAEE7B0"/>
    <w:lvl w:ilvl="0" w:tplc="CA9429AE">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445544B"/>
    <w:multiLevelType w:val="hybridMultilevel"/>
    <w:tmpl w:val="BF361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4B21B0"/>
    <w:multiLevelType w:val="hybridMultilevel"/>
    <w:tmpl w:val="BF36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BE1A4D"/>
    <w:multiLevelType w:val="hybridMultilevel"/>
    <w:tmpl w:val="E8E6722C"/>
    <w:lvl w:ilvl="0" w:tplc="A114EBFA">
      <w:start w:val="1"/>
      <w:numFmt w:val="bullet"/>
      <w:lvlText w:val="-"/>
      <w:lvlJc w:val="left"/>
      <w:pPr>
        <w:ind w:left="3196"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4" w15:restartNumberingAfterBreak="0">
    <w:nsid w:val="488B3E1E"/>
    <w:multiLevelType w:val="hybridMultilevel"/>
    <w:tmpl w:val="A0902956"/>
    <w:lvl w:ilvl="0" w:tplc="180252C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19B4C5A"/>
    <w:multiLevelType w:val="hybridMultilevel"/>
    <w:tmpl w:val="E82807FC"/>
    <w:lvl w:ilvl="0" w:tplc="CD92DC88">
      <w:start w:val="5"/>
      <w:numFmt w:val="decimal"/>
      <w:lvlText w:val="%1."/>
      <w:lvlJc w:val="left"/>
      <w:pPr>
        <w:ind w:left="360" w:hanging="360"/>
      </w:pPr>
      <w:rPr>
        <w:rFonts w:hint="default"/>
        <w:b/>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1EC6584"/>
    <w:multiLevelType w:val="hybridMultilevel"/>
    <w:tmpl w:val="9A7E5440"/>
    <w:lvl w:ilvl="0" w:tplc="9E56D3E6">
      <w:start w:val="1"/>
      <w:numFmt w:val="decimal"/>
      <w:lvlText w:val="%1."/>
      <w:lvlJc w:val="left"/>
      <w:pPr>
        <w:ind w:left="36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8715592">
    <w:abstractNumId w:val="1"/>
  </w:num>
  <w:num w:numId="2" w16cid:durableId="278344930">
    <w:abstractNumId w:val="2"/>
  </w:num>
  <w:num w:numId="3" w16cid:durableId="671831323">
    <w:abstractNumId w:val="5"/>
  </w:num>
  <w:num w:numId="4" w16cid:durableId="534081018">
    <w:abstractNumId w:val="6"/>
  </w:num>
  <w:num w:numId="5" w16cid:durableId="207453780">
    <w:abstractNumId w:val="3"/>
  </w:num>
  <w:num w:numId="6" w16cid:durableId="1720587441">
    <w:abstractNumId w:val="4"/>
  </w:num>
  <w:num w:numId="7" w16cid:durableId="86278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66"/>
    <w:rsid w:val="00057D04"/>
    <w:rsid w:val="00061A04"/>
    <w:rsid w:val="0008691A"/>
    <w:rsid w:val="000B51C9"/>
    <w:rsid w:val="0014329D"/>
    <w:rsid w:val="0029461B"/>
    <w:rsid w:val="00422F86"/>
    <w:rsid w:val="00445690"/>
    <w:rsid w:val="00500865"/>
    <w:rsid w:val="005462D5"/>
    <w:rsid w:val="00567AF7"/>
    <w:rsid w:val="00580AA6"/>
    <w:rsid w:val="005E3CFD"/>
    <w:rsid w:val="005E5CFA"/>
    <w:rsid w:val="0068347D"/>
    <w:rsid w:val="006C7438"/>
    <w:rsid w:val="006D5EA8"/>
    <w:rsid w:val="00713CF3"/>
    <w:rsid w:val="0077095D"/>
    <w:rsid w:val="007C624C"/>
    <w:rsid w:val="007E7577"/>
    <w:rsid w:val="00911E1F"/>
    <w:rsid w:val="00952584"/>
    <w:rsid w:val="009977D0"/>
    <w:rsid w:val="00B16274"/>
    <w:rsid w:val="00B304C3"/>
    <w:rsid w:val="00B466C9"/>
    <w:rsid w:val="00C61C3A"/>
    <w:rsid w:val="00C63D90"/>
    <w:rsid w:val="00C91AAA"/>
    <w:rsid w:val="00CA4418"/>
    <w:rsid w:val="00D44910"/>
    <w:rsid w:val="00D93A66"/>
    <w:rsid w:val="00DC5DC2"/>
    <w:rsid w:val="00E00EC9"/>
    <w:rsid w:val="00F00211"/>
    <w:rsid w:val="00FD4A5B"/>
    <w:rsid w:val="00FE6D23"/>
    <w:rsid w:val="00FF7C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CE7B"/>
  <w15:chartTrackingRefBased/>
  <w15:docId w15:val="{EEF2309C-B166-4800-9295-83E19BC7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A66"/>
    <w:pPr>
      <w:widowControl w:val="0"/>
      <w:wordWrap w:val="0"/>
      <w:autoSpaceDE w:val="0"/>
      <w:autoSpaceDN w:val="0"/>
      <w:jc w:val="both"/>
    </w:pPr>
    <w:rPr>
      <w:kern w:val="2"/>
      <w:sz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a4">
    <w:name w:val="页眉 字符"/>
    <w:basedOn w:val="a0"/>
    <w:link w:val="a3"/>
    <w:uiPriority w:val="99"/>
    <w:rsid w:val="00D93A66"/>
  </w:style>
  <w:style w:type="paragraph" w:styleId="a5">
    <w:name w:val="footer"/>
    <w:basedOn w:val="a"/>
    <w:link w:val="a6"/>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a6">
    <w:name w:val="页脚 字符"/>
    <w:basedOn w:val="a0"/>
    <w:link w:val="a5"/>
    <w:uiPriority w:val="99"/>
    <w:rsid w:val="00D93A66"/>
  </w:style>
  <w:style w:type="table" w:styleId="a7">
    <w:name w:val="Table Grid"/>
    <w:basedOn w:val="a1"/>
    <w:uiPriority w:val="39"/>
    <w:rsid w:val="00D93A66"/>
    <w:pPr>
      <w:spacing w:after="0" w:line="240" w:lineRule="auto"/>
      <w:jc w:val="both"/>
    </w:pPr>
    <w:rPr>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095D"/>
    <w:pPr>
      <w:ind w:left="720"/>
      <w:contextualSpacing/>
    </w:pPr>
  </w:style>
  <w:style w:type="character" w:styleId="a9">
    <w:name w:val="Strong"/>
    <w:basedOn w:val="a0"/>
    <w:uiPriority w:val="22"/>
    <w:qFormat/>
    <w:rsid w:val="00FD4A5B"/>
    <w:rPr>
      <w:b/>
      <w:bCs/>
    </w:rPr>
  </w:style>
  <w:style w:type="character" w:styleId="aa">
    <w:name w:val="Hyperlink"/>
    <w:basedOn w:val="a0"/>
    <w:unhideWhenUsed/>
    <w:rsid w:val="005E3CFD"/>
    <w:rPr>
      <w:color w:val="0563C1" w:themeColor="hyperlink"/>
      <w:u w:val="single"/>
    </w:rPr>
  </w:style>
  <w:style w:type="character" w:styleId="ab">
    <w:name w:val="Unresolved Mention"/>
    <w:basedOn w:val="a0"/>
    <w:uiPriority w:val="99"/>
    <w:semiHidden/>
    <w:unhideWhenUsed/>
    <w:rsid w:val="005E3CFD"/>
    <w:rPr>
      <w:color w:val="605E5C"/>
      <w:shd w:val="clear" w:color="auto" w:fill="E1DFDD"/>
    </w:rPr>
  </w:style>
  <w:style w:type="character" w:styleId="ac">
    <w:name w:val="annotation reference"/>
    <w:basedOn w:val="a0"/>
    <w:uiPriority w:val="99"/>
    <w:semiHidden/>
    <w:unhideWhenUsed/>
    <w:rsid w:val="00DC5DC2"/>
    <w:rPr>
      <w:sz w:val="21"/>
      <w:szCs w:val="21"/>
    </w:rPr>
  </w:style>
  <w:style w:type="paragraph" w:styleId="ad">
    <w:name w:val="annotation text"/>
    <w:basedOn w:val="a"/>
    <w:link w:val="ae"/>
    <w:uiPriority w:val="99"/>
    <w:semiHidden/>
    <w:unhideWhenUsed/>
    <w:rsid w:val="00DC5DC2"/>
    <w:pPr>
      <w:jc w:val="left"/>
    </w:pPr>
  </w:style>
  <w:style w:type="character" w:customStyle="1" w:styleId="ae">
    <w:name w:val="批注文字 字符"/>
    <w:basedOn w:val="a0"/>
    <w:link w:val="ad"/>
    <w:uiPriority w:val="99"/>
    <w:semiHidden/>
    <w:rsid w:val="00DC5DC2"/>
    <w:rPr>
      <w:kern w:val="2"/>
      <w:sz w:val="20"/>
      <w:lang w:val="en-US" w:eastAsia="ko-KR"/>
    </w:rPr>
  </w:style>
  <w:style w:type="paragraph" w:styleId="af">
    <w:name w:val="annotation subject"/>
    <w:basedOn w:val="ad"/>
    <w:next w:val="ad"/>
    <w:link w:val="af0"/>
    <w:uiPriority w:val="99"/>
    <w:semiHidden/>
    <w:unhideWhenUsed/>
    <w:rsid w:val="00DC5DC2"/>
    <w:rPr>
      <w:b/>
      <w:bCs/>
    </w:rPr>
  </w:style>
  <w:style w:type="character" w:customStyle="1" w:styleId="af0">
    <w:name w:val="批注主题 字符"/>
    <w:basedOn w:val="ae"/>
    <w:link w:val="af"/>
    <w:uiPriority w:val="99"/>
    <w:semiHidden/>
    <w:rsid w:val="00DC5DC2"/>
    <w:rPr>
      <w:b/>
      <w:bCs/>
      <w:kern w:val="2"/>
      <w:sz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CPM23.2-C-0148/en" TargetMode="External"/><Relationship Id="rId13" Type="http://schemas.openxmlformats.org/officeDocument/2006/relationships/hyperlink" Target="https://www.itu.int/md/R19-CPM23.2-C-0076/en" TargetMode="External"/><Relationship Id="rId18" Type="http://schemas.openxmlformats.org/officeDocument/2006/relationships/hyperlink" Target="https://www.itu.int/md/R19-CPM23.2-C-0154/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itu.int/md/R19-CPM23.2-C-0129/en" TargetMode="External"/><Relationship Id="rId12" Type="http://schemas.openxmlformats.org/officeDocument/2006/relationships/hyperlink" Target="https://www.itu.int/md/R19-CPM23.2-C-0021/en" TargetMode="External"/><Relationship Id="rId17" Type="http://schemas.openxmlformats.org/officeDocument/2006/relationships/hyperlink" Target="https://www.itu.int/md/R19-CPM23.2-C-0148/e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tu.int/md/R19-CPM23.2-C-0129/e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9-CPM23.2-C-0089/en"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itu.int/md/R19-CPM23.2-C-0112/en" TargetMode="External"/><Relationship Id="rId23" Type="http://schemas.openxmlformats.org/officeDocument/2006/relationships/footer" Target="footer2.xml"/><Relationship Id="rId10" Type="http://schemas.openxmlformats.org/officeDocument/2006/relationships/hyperlink" Target="https://www.itu.int/md/R19-CPM23.2-C-0154/en" TargetMode="External"/><Relationship Id="rId19" Type="http://schemas.openxmlformats.org/officeDocument/2006/relationships/hyperlink" Target="https://www.itu.int/md/meetingdoc.asp?lang=en&amp;parent=R19-CPM23.2-230327-TD-0012" TargetMode="External"/><Relationship Id="rId4" Type="http://schemas.openxmlformats.org/officeDocument/2006/relationships/webSettings" Target="webSettings.xml"/><Relationship Id="rId9" Type="http://schemas.openxmlformats.org/officeDocument/2006/relationships/hyperlink" Target="https://www.itu.int/md/R19-CPM23.2-C-0021/en" TargetMode="External"/><Relationship Id="rId14" Type="http://schemas.openxmlformats.org/officeDocument/2006/relationships/hyperlink" Target="https://www.itu.int/md/R19-CPM23.2-C-0089/e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Hose</dc:creator>
  <cp:keywords/>
  <dc:description/>
  <cp:lastModifiedBy>T Davy</cp:lastModifiedBy>
  <cp:revision>14</cp:revision>
  <dcterms:created xsi:type="dcterms:W3CDTF">2023-03-29T14:48:00Z</dcterms:created>
  <dcterms:modified xsi:type="dcterms:W3CDTF">2023-03-31T21:13:00Z</dcterms:modified>
</cp:coreProperties>
</file>