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69153D" w:rsidRDefault="00A749D2" w:rsidP="00A749D2">
      <w:pPr>
        <w:rPr>
          <w:rFonts w:eastAsiaTheme="minorEastAsia"/>
          <w:snapToGrid w:val="0"/>
          <w:lang w:eastAsia="ko-KR"/>
        </w:rPr>
      </w:pPr>
      <w:r>
        <w:rPr>
          <w:snapToGrid w:val="0"/>
        </w:rPr>
        <w:t>Date:</w:t>
      </w:r>
      <w:r w:rsidR="0069153D">
        <w:rPr>
          <w:rFonts w:eastAsiaTheme="minorEastAsia" w:hint="eastAsia"/>
          <w:snapToGrid w:val="0"/>
          <w:lang w:eastAsia="ko-KR"/>
        </w:rPr>
        <w:t xml:space="preserve"> </w:t>
      </w:r>
      <w:r w:rsidR="005D1E5C">
        <w:rPr>
          <w:rFonts w:eastAsiaTheme="minorEastAsia" w:hint="eastAsia"/>
          <w:snapToGrid w:val="0"/>
          <w:lang w:eastAsia="ko-KR"/>
        </w:rPr>
        <w:t>0</w:t>
      </w:r>
      <w:r w:rsidR="00F3205B">
        <w:rPr>
          <w:rFonts w:eastAsiaTheme="minorEastAsia" w:hint="eastAsia"/>
          <w:snapToGrid w:val="0"/>
          <w:lang w:eastAsia="ko-KR"/>
        </w:rPr>
        <w:t>6</w:t>
      </w:r>
      <w:r w:rsidR="005D1E5C">
        <w:rPr>
          <w:rFonts w:eastAsiaTheme="minorEastAsia" w:hint="eastAsia"/>
          <w:snapToGrid w:val="0"/>
          <w:lang w:eastAsia="ko-KR"/>
        </w:rPr>
        <w:t xml:space="preserve"> </w:t>
      </w:r>
      <w:r w:rsidR="00064C4C">
        <w:rPr>
          <w:rFonts w:eastAsiaTheme="minorEastAsia" w:hint="eastAsia"/>
          <w:snapToGrid w:val="0"/>
          <w:lang w:eastAsia="ko-KR"/>
        </w:rPr>
        <w:t>Feb</w:t>
      </w:r>
      <w:r w:rsidR="0069153D">
        <w:rPr>
          <w:rFonts w:eastAsiaTheme="minorEastAsia" w:hint="eastAsia"/>
          <w:snapToGrid w:val="0"/>
          <w:lang w:eastAsia="ko-KR"/>
        </w:rPr>
        <w:t>. 2012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/>
      </w:tblPr>
      <w:tblGrid>
        <w:gridCol w:w="9242"/>
      </w:tblGrid>
      <w:tr w:rsidR="00A749D2" w:rsidTr="009F634A">
        <w:tc>
          <w:tcPr>
            <w:tcW w:w="9242" w:type="dxa"/>
          </w:tcPr>
          <w:p w:rsidR="006D513B" w:rsidRDefault="00A749D2" w:rsidP="006D513B">
            <w:pPr>
              <w:rPr>
                <w:rFonts w:eastAsiaTheme="minorEastAsia"/>
                <w:color w:val="000000"/>
                <w:lang w:eastAsia="ko-KR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69153D">
              <w:rPr>
                <w:rFonts w:eastAsiaTheme="minorEastAsia" w:hint="eastAsia"/>
                <w:lang w:eastAsia="ko-KR"/>
              </w:rPr>
              <w:t xml:space="preserve"> 1.17</w:t>
            </w:r>
            <w:r w:rsidR="00293CA7" w:rsidRPr="00D83A70">
              <w:rPr>
                <w:color w:val="000000"/>
              </w:rPr>
              <w:tab/>
            </w:r>
          </w:p>
          <w:p w:rsidR="00A749D2" w:rsidRDefault="00293CA7" w:rsidP="006D513B">
            <w:pPr>
              <w:rPr>
                <w:b/>
                <w:bCs/>
                <w:sz w:val="28"/>
              </w:rPr>
            </w:pPr>
            <w:r w:rsidRPr="00D83A70">
              <w:t xml:space="preserve">to consider results of sharing studies between the mobile service and other services in the band 790-862 MHz in Regions 1 and 3, in accordance with Resolution </w:t>
            </w:r>
            <w:r w:rsidRPr="00D83A70">
              <w:rPr>
                <w:b/>
                <w:bCs/>
              </w:rPr>
              <w:t>749 (WRC</w:t>
            </w:r>
            <w:r w:rsidRPr="00D83A70">
              <w:rPr>
                <w:b/>
                <w:bCs/>
              </w:rPr>
              <w:noBreakHyphen/>
              <w:t>07)</w:t>
            </w:r>
            <w:r w:rsidRPr="00D83A70">
              <w:t>, to ensure the adequate protection of services to which this frequency band is allocated, and take appropriate action</w:t>
            </w:r>
          </w:p>
        </w:tc>
      </w:tr>
      <w:tr w:rsidR="00A749D2" w:rsidTr="009F634A">
        <w:tc>
          <w:tcPr>
            <w:tcW w:w="9242" w:type="dxa"/>
          </w:tcPr>
          <w:p w:rsidR="00A749D2" w:rsidRPr="00293CA7" w:rsidRDefault="00A749D2" w:rsidP="009F634A">
            <w:pPr>
              <w:rPr>
                <w:rFonts w:eastAsiaTheme="minorEastAsia"/>
                <w:lang w:eastAsia="ko-KR"/>
              </w:rPr>
            </w:pPr>
            <w:r w:rsidRPr="00AE27E9">
              <w:rPr>
                <w:b/>
                <w:bCs/>
              </w:rPr>
              <w:t>Name of the Coordinator</w:t>
            </w:r>
            <w:r w:rsidR="006014BC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with Email)</w:t>
            </w:r>
            <w:r>
              <w:t>:</w:t>
            </w:r>
            <w:r w:rsidR="00293CA7">
              <w:rPr>
                <w:rFonts w:eastAsiaTheme="minorEastAsia" w:hint="eastAsia"/>
                <w:lang w:eastAsia="ko-KR"/>
              </w:rPr>
              <w:t xml:space="preserve"> Kyung-Mee KIM (kmkim@kcc.go.kr)</w:t>
            </w:r>
          </w:p>
          <w:p w:rsidR="00A749D2" w:rsidRPr="00AE27E9" w:rsidRDefault="00A749D2" w:rsidP="009F634A"/>
        </w:tc>
      </w:tr>
      <w:tr w:rsidR="00A749D2" w:rsidTr="00800274">
        <w:trPr>
          <w:trHeight w:val="350"/>
        </w:trPr>
        <w:tc>
          <w:tcPr>
            <w:tcW w:w="9242" w:type="dxa"/>
          </w:tcPr>
          <w:p w:rsidR="00A749D2" w:rsidRDefault="00A749D2" w:rsidP="00F26F87">
            <w:pPr>
              <w:rPr>
                <w:rFonts w:eastAsiaTheme="minorEastAsia"/>
                <w:bCs/>
                <w:lang w:eastAsia="ko-KR"/>
              </w:rPr>
            </w:pPr>
            <w:r w:rsidRPr="00AE27E9">
              <w:rPr>
                <w:b/>
                <w:bCs/>
              </w:rPr>
              <w:t>Issues:</w:t>
            </w:r>
            <w:r w:rsidR="00800274">
              <w:rPr>
                <w:rFonts w:eastAsiaTheme="minorEastAsia" w:hint="eastAsia"/>
                <w:b/>
                <w:bCs/>
                <w:lang w:eastAsia="ko-KR"/>
              </w:rPr>
              <w:t xml:space="preserve"> </w:t>
            </w:r>
            <w:r w:rsidR="00800274" w:rsidRPr="00800274">
              <w:rPr>
                <w:rFonts w:eastAsiaTheme="minorEastAsia" w:hint="eastAsia"/>
                <w:bCs/>
                <w:lang w:eastAsia="ko-KR"/>
              </w:rPr>
              <w:t>R</w:t>
            </w:r>
            <w:r w:rsidR="00800274">
              <w:rPr>
                <w:rFonts w:eastAsiaTheme="minorEastAsia" w:hint="eastAsia"/>
                <w:bCs/>
                <w:lang w:eastAsia="ko-KR"/>
              </w:rPr>
              <w:t>egulatory measures for coordination</w:t>
            </w:r>
            <w:r w:rsidR="004110A9" w:rsidRPr="004110A9">
              <w:rPr>
                <w:rFonts w:eastAsiaTheme="minorEastAsia" w:hint="eastAsia"/>
                <w:bCs/>
                <w:lang w:eastAsia="ko-KR"/>
              </w:rPr>
              <w:t xml:space="preserve"> between the</w:t>
            </w:r>
            <w:r w:rsidR="00F26F87">
              <w:rPr>
                <w:rFonts w:eastAsiaTheme="minorEastAsia" w:hint="eastAsia"/>
                <w:bCs/>
                <w:lang w:eastAsia="ko-KR"/>
              </w:rPr>
              <w:t xml:space="preserve"> mobile service in</w:t>
            </w:r>
            <w:r w:rsidR="004110A9" w:rsidRPr="004110A9">
              <w:rPr>
                <w:rFonts w:eastAsiaTheme="minorEastAsia" w:hint="eastAsia"/>
                <w:bCs/>
                <w:lang w:eastAsia="ko-KR"/>
              </w:rPr>
              <w:t xml:space="preserve"> Region 3 and other services </w:t>
            </w:r>
            <w:r w:rsidR="006014BC">
              <w:rPr>
                <w:rFonts w:eastAsiaTheme="minorEastAsia" w:hint="eastAsia"/>
                <w:bCs/>
                <w:lang w:eastAsia="ko-KR"/>
              </w:rPr>
              <w:t>in Region 1</w:t>
            </w:r>
          </w:p>
          <w:p w:rsidR="006D513B" w:rsidRDefault="006D513B" w:rsidP="006D513B">
            <w:pPr>
              <w:rPr>
                <w:rFonts w:eastAsiaTheme="minorEastAsia"/>
                <w:bCs/>
                <w:lang w:eastAsia="ko-KR"/>
              </w:rPr>
            </w:pPr>
            <w:r>
              <w:rPr>
                <w:rFonts w:eastAsiaTheme="minorEastAsia" w:hint="eastAsia"/>
                <w:bCs/>
                <w:lang w:eastAsia="ko-KR"/>
              </w:rPr>
              <w:t>Issue A: between MS in non-GE06 countries and BS in GE06 countries</w:t>
            </w:r>
          </w:p>
          <w:p w:rsidR="006D513B" w:rsidRDefault="006D513B" w:rsidP="006D513B">
            <w:pPr>
              <w:rPr>
                <w:rFonts w:eastAsiaTheme="minorEastAsia"/>
                <w:bCs/>
                <w:lang w:eastAsia="ko-KR"/>
              </w:rPr>
            </w:pPr>
            <w:r>
              <w:rPr>
                <w:rFonts w:eastAsiaTheme="minorEastAsia" w:hint="eastAsia"/>
                <w:bCs/>
                <w:lang w:eastAsia="ko-KR"/>
              </w:rPr>
              <w:t>Issue B: between MS in Region 3 countries and ARNS in Region 1 countries</w:t>
            </w:r>
          </w:p>
          <w:p w:rsidR="006D513B" w:rsidRPr="004A2F0E" w:rsidRDefault="006D513B" w:rsidP="006D513B">
            <w:pPr>
              <w:rPr>
                <w:rFonts w:eastAsiaTheme="minorEastAsia"/>
                <w:bCs/>
                <w:lang w:eastAsia="ko-KR"/>
              </w:rPr>
            </w:pPr>
            <w:r>
              <w:rPr>
                <w:rFonts w:eastAsiaTheme="minorEastAsia" w:hint="eastAsia"/>
                <w:bCs/>
                <w:lang w:eastAsia="ko-KR"/>
              </w:rPr>
              <w:t>Issue C: between MS in Region 3 countries and FS in Region 1 countries</w:t>
            </w:r>
          </w:p>
        </w:tc>
      </w:tr>
      <w:tr w:rsidR="00A749D2" w:rsidTr="006D513B">
        <w:trPr>
          <w:trHeight w:val="664"/>
        </w:trPr>
        <w:tc>
          <w:tcPr>
            <w:tcW w:w="9242" w:type="dxa"/>
          </w:tcPr>
          <w:p w:rsidR="00A749D2" w:rsidRPr="00D14605" w:rsidRDefault="00A749D2" w:rsidP="00800274">
            <w:r>
              <w:rPr>
                <w:b/>
                <w:bCs/>
              </w:rPr>
              <w:t>APT Proposals</w:t>
            </w:r>
            <w:r>
              <w:t>:</w:t>
            </w:r>
            <w:r w:rsidR="00800274">
              <w:rPr>
                <w:rFonts w:eastAsiaTheme="minorEastAsia" w:hint="eastAsia"/>
                <w:lang w:eastAsia="ko-KR"/>
              </w:rPr>
              <w:t xml:space="preserve"> </w:t>
            </w:r>
            <w:r w:rsidR="00293CA7">
              <w:rPr>
                <w:rFonts w:eastAsiaTheme="minorEastAsia" w:hint="eastAsia"/>
                <w:lang w:eastAsia="ko-KR"/>
              </w:rPr>
              <w:t>NOC to the Radio Regulations</w:t>
            </w:r>
            <w:r w:rsidR="006D513B">
              <w:rPr>
                <w:rFonts w:eastAsiaTheme="minorEastAsia" w:hint="eastAsia"/>
                <w:lang w:eastAsia="ko-KR"/>
              </w:rPr>
              <w:t xml:space="preserve"> for all issues</w:t>
            </w:r>
            <w:r w:rsidR="008B5979">
              <w:rPr>
                <w:rFonts w:eastAsiaTheme="minorEastAsia" w:hint="eastAsia"/>
                <w:lang w:eastAsia="ko-KR"/>
              </w:rPr>
              <w:t xml:space="preserve"> except the modification to the title of Resolution 749 to exclude Region 3 countries but Iran</w:t>
            </w:r>
          </w:p>
        </w:tc>
      </w:tr>
      <w:tr w:rsidR="00A749D2" w:rsidTr="000F0473">
        <w:trPr>
          <w:trHeight w:val="1538"/>
        </w:trPr>
        <w:tc>
          <w:tcPr>
            <w:tcW w:w="9242" w:type="dxa"/>
          </w:tcPr>
          <w:p w:rsidR="00AD6AD7" w:rsidRDefault="00A749D2" w:rsidP="00045FBF">
            <w:pPr>
              <w:rPr>
                <w:rFonts w:eastAsiaTheme="minorEastAsia" w:hint="eastAsia"/>
                <w:lang w:eastAsia="ko-KR"/>
              </w:rPr>
            </w:pPr>
            <w:r>
              <w:rPr>
                <w:b/>
                <w:bCs/>
              </w:rPr>
              <w:t>Status of the APT Proposals:</w:t>
            </w:r>
            <w:r w:rsidR="00AD6AD7">
              <w:rPr>
                <w:rFonts w:eastAsiaTheme="minorEastAsia" w:hint="eastAsia"/>
                <w:b/>
                <w:bCs/>
                <w:lang w:eastAsia="ko-KR"/>
              </w:rPr>
              <w:t xml:space="preserve"> </w:t>
            </w:r>
          </w:p>
          <w:p w:rsidR="00A749D2" w:rsidRPr="004A7AC1" w:rsidRDefault="005D1E5C" w:rsidP="00045FBF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WG 5C </w:t>
            </w:r>
            <w:r w:rsidR="00AA1071">
              <w:rPr>
                <w:rFonts w:eastAsiaTheme="minorEastAsia" w:hint="eastAsia"/>
                <w:lang w:eastAsia="ko-KR"/>
              </w:rPr>
              <w:t xml:space="preserve">concluded not to </w:t>
            </w:r>
            <w:r>
              <w:rPr>
                <w:rFonts w:eastAsiaTheme="minorEastAsia" w:hint="eastAsia"/>
                <w:lang w:eastAsia="ko-KR"/>
              </w:rPr>
              <w:t>have any regulatory measures between Region 1/G</w:t>
            </w:r>
            <w:r w:rsidR="00A44791">
              <w:rPr>
                <w:rFonts w:eastAsiaTheme="minorEastAsia" w:hint="eastAsia"/>
                <w:lang w:eastAsia="ko-KR"/>
              </w:rPr>
              <w:t>E</w:t>
            </w:r>
            <w:r>
              <w:rPr>
                <w:rFonts w:eastAsiaTheme="minorEastAsia" w:hint="eastAsia"/>
                <w:lang w:eastAsia="ko-KR"/>
              </w:rPr>
              <w:t>06 countries and Region 3/non-GE06 countries</w:t>
            </w:r>
            <w:r w:rsidR="00045FBF">
              <w:rPr>
                <w:rFonts w:eastAsiaTheme="minorEastAsia" w:hint="eastAsia"/>
                <w:lang w:eastAsia="ko-KR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 w:rsidR="00045FBF">
              <w:rPr>
                <w:rFonts w:eastAsiaTheme="minorEastAsia" w:hint="eastAsia"/>
                <w:lang w:eastAsia="ko-KR"/>
              </w:rPr>
              <w:t>e</w:t>
            </w:r>
            <w:r>
              <w:rPr>
                <w:rFonts w:eastAsiaTheme="minorEastAsia" w:hint="eastAsia"/>
                <w:lang w:eastAsia="ko-KR"/>
              </w:rPr>
              <w:t xml:space="preserve">xcept the modification to </w:t>
            </w:r>
            <w:r w:rsidR="00A44791">
              <w:rPr>
                <w:rFonts w:eastAsiaTheme="minorEastAsia" w:hint="eastAsia"/>
                <w:lang w:eastAsia="ko-KR"/>
              </w:rPr>
              <w:t>Resolution 749</w:t>
            </w:r>
            <w:r w:rsidR="00045FBF">
              <w:rPr>
                <w:rFonts w:eastAsiaTheme="minorEastAsia" w:hint="eastAsia"/>
                <w:lang w:eastAsia="ko-KR"/>
              </w:rPr>
              <w:t xml:space="preserve"> subject to retaining Resolution 224</w:t>
            </w:r>
            <w:r w:rsidR="00A44791">
              <w:rPr>
                <w:rFonts w:eastAsiaTheme="minorEastAsia" w:hint="eastAsia"/>
                <w:lang w:eastAsia="ko-KR"/>
              </w:rPr>
              <w:t>.</w:t>
            </w:r>
            <w:r w:rsidR="00713092">
              <w:rPr>
                <w:rFonts w:eastAsiaTheme="minorEastAsia" w:hint="eastAsia"/>
                <w:lang w:eastAsia="ko-KR"/>
              </w:rPr>
              <w:t xml:space="preserve"> Resolution 749 is under discussion</w:t>
            </w:r>
            <w:r w:rsidR="007707EC">
              <w:rPr>
                <w:rFonts w:eastAsiaTheme="minorEastAsia" w:hint="eastAsia"/>
                <w:lang w:eastAsia="ko-KR"/>
              </w:rPr>
              <w:t xml:space="preserve"> with two issues: linkage with </w:t>
            </w:r>
            <w:r w:rsidR="007707EC" w:rsidRPr="007707EC">
              <w:rPr>
                <w:rFonts w:eastAsiaTheme="minorEastAsia" w:hint="eastAsia"/>
                <w:i/>
                <w:lang w:eastAsia="ko-KR"/>
              </w:rPr>
              <w:t>resolves 4</w:t>
            </w:r>
            <w:r w:rsidR="007707EC">
              <w:rPr>
                <w:rFonts w:eastAsiaTheme="minorEastAsia" w:hint="eastAsia"/>
                <w:lang w:eastAsia="ko-KR"/>
              </w:rPr>
              <w:t xml:space="preserve"> of Resolution 224 and cumulative </w:t>
            </w:r>
            <w:r w:rsidR="007707EC">
              <w:rPr>
                <w:rFonts w:eastAsiaTheme="minorEastAsia"/>
                <w:lang w:eastAsia="ko-KR"/>
              </w:rPr>
              <w:t>effects</w:t>
            </w:r>
            <w:r w:rsidR="007707EC">
              <w:rPr>
                <w:rFonts w:eastAsiaTheme="minorEastAsia" w:hint="eastAsia"/>
                <w:lang w:eastAsia="ko-KR"/>
              </w:rPr>
              <w:t xml:space="preserve"> from MS to BS.</w:t>
            </w:r>
          </w:p>
        </w:tc>
      </w:tr>
      <w:tr w:rsidR="00A749D2" w:rsidTr="009F634A">
        <w:tc>
          <w:tcPr>
            <w:tcW w:w="9242" w:type="dxa"/>
          </w:tcPr>
          <w:p w:rsidR="00AD6AD7" w:rsidRDefault="00A749D2" w:rsidP="009F634A">
            <w:pPr>
              <w:rPr>
                <w:rFonts w:eastAsiaTheme="minorEastAsia" w:hint="eastAsia"/>
                <w:b/>
                <w:bCs/>
                <w:lang w:eastAsia="ko-KR"/>
              </w:rPr>
            </w:pPr>
            <w:r>
              <w:rPr>
                <w:b/>
                <w:bCs/>
              </w:rPr>
              <w:t>Issues to be discussed at the Coordination Meeting</w:t>
            </w:r>
            <w:r w:rsidR="00556844">
              <w:rPr>
                <w:rFonts w:eastAsiaTheme="minorEastAsia" w:hint="eastAsia"/>
                <w:b/>
                <w:bCs/>
                <w:lang w:eastAsia="ko-KR"/>
              </w:rPr>
              <w:t>:</w:t>
            </w:r>
            <w:r w:rsidR="004A7AC1">
              <w:rPr>
                <w:rFonts w:eastAsiaTheme="minorEastAsia" w:hint="eastAsia"/>
                <w:b/>
                <w:bCs/>
                <w:lang w:eastAsia="ko-KR"/>
              </w:rPr>
              <w:t xml:space="preserve"> </w:t>
            </w:r>
            <w:r w:rsidR="005D1E5C">
              <w:rPr>
                <w:rFonts w:eastAsiaTheme="minorEastAsia" w:hint="eastAsia"/>
                <w:b/>
                <w:bCs/>
                <w:lang w:eastAsia="ko-KR"/>
              </w:rPr>
              <w:t xml:space="preserve"> </w:t>
            </w:r>
          </w:p>
          <w:p w:rsidR="00493698" w:rsidRDefault="009F6630" w:rsidP="00493698">
            <w:pPr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With the modification to Resolution 749, this Resolution applies to only Region 1 countries and Iran</w:t>
            </w:r>
            <w:r w:rsidR="00493698">
              <w:rPr>
                <w:rFonts w:eastAsiaTheme="minorEastAsia" w:hint="eastAsia"/>
                <w:lang w:eastAsia="ko-KR"/>
              </w:rPr>
              <w:t>, h</w:t>
            </w:r>
            <w:r>
              <w:rPr>
                <w:rFonts w:eastAsiaTheme="minorEastAsia" w:hint="eastAsia"/>
                <w:lang w:eastAsia="ko-KR"/>
              </w:rPr>
              <w:t xml:space="preserve">owever it is noted that </w:t>
            </w:r>
            <w:r w:rsidRPr="00AD6AD7">
              <w:rPr>
                <w:rFonts w:eastAsiaTheme="minorEastAsia" w:hint="eastAsia"/>
                <w:i/>
                <w:lang w:eastAsia="ko-KR"/>
              </w:rPr>
              <w:t xml:space="preserve">further recognizing b), g) </w:t>
            </w:r>
            <w:r>
              <w:rPr>
                <w:rFonts w:eastAsiaTheme="minorEastAsia" w:hint="eastAsia"/>
                <w:lang w:eastAsia="ko-KR"/>
              </w:rPr>
              <w:t>and</w:t>
            </w:r>
            <w:r w:rsidRPr="00AD6AD7">
              <w:rPr>
                <w:rFonts w:eastAsiaTheme="minorEastAsia" w:hint="eastAsia"/>
                <w:i/>
                <w:lang w:eastAsia="ko-KR"/>
              </w:rPr>
              <w:t xml:space="preserve"> </w:t>
            </w:r>
            <w:proofErr w:type="spellStart"/>
            <w:r w:rsidRPr="00AD6AD7">
              <w:rPr>
                <w:rFonts w:eastAsiaTheme="minorEastAsia" w:hint="eastAsia"/>
                <w:i/>
                <w:lang w:eastAsia="ko-KR"/>
              </w:rPr>
              <w:t>i</w:t>
            </w:r>
            <w:proofErr w:type="spellEnd"/>
            <w:r w:rsidRPr="00AD6AD7">
              <w:rPr>
                <w:rFonts w:eastAsiaTheme="minorEastAsia" w:hint="eastAsia"/>
                <w:i/>
                <w:lang w:eastAsia="ko-KR"/>
              </w:rPr>
              <w:t>)</w:t>
            </w:r>
            <w:r>
              <w:rPr>
                <w:rFonts w:eastAsiaTheme="minorEastAsia" w:hint="eastAsia"/>
                <w:lang w:eastAsia="ko-KR"/>
              </w:rPr>
              <w:t xml:space="preserve"> of Resolution 749 still address Region 3 countries</w:t>
            </w:r>
            <w:r w:rsidR="00493698">
              <w:rPr>
                <w:rFonts w:eastAsiaTheme="minorEastAsia" w:hint="eastAsia"/>
                <w:lang w:eastAsia="ko-KR"/>
              </w:rPr>
              <w:t>.</w:t>
            </w:r>
          </w:p>
          <w:p w:rsidR="00493698" w:rsidRDefault="00493698" w:rsidP="00493698">
            <w:pPr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 </w:t>
            </w:r>
            <w:r w:rsidR="009F6630">
              <w:rPr>
                <w:rFonts w:eastAsiaTheme="minorEastAsia" w:hint="eastAsia"/>
                <w:lang w:eastAsia="ko-KR"/>
              </w:rPr>
              <w:t>I requested consultation with twelve Members among nineteen APT Members joined ACP</w:t>
            </w:r>
            <w:r>
              <w:rPr>
                <w:rFonts w:eastAsiaTheme="minorEastAsia" w:hint="eastAsia"/>
                <w:lang w:eastAsia="ko-KR"/>
              </w:rPr>
              <w:t xml:space="preserve"> and</w:t>
            </w:r>
            <w:r w:rsidR="009F6630">
              <w:rPr>
                <w:rFonts w:eastAsiaTheme="minorEastAsia" w:hint="eastAsia"/>
                <w:lang w:eastAsia="ko-KR"/>
              </w:rPr>
              <w:t xml:space="preserve"> received five replies expressed no concerns</w:t>
            </w:r>
            <w:r>
              <w:rPr>
                <w:rFonts w:eastAsiaTheme="minorEastAsia" w:hint="eastAsia"/>
                <w:lang w:eastAsia="ko-KR"/>
              </w:rPr>
              <w:t xml:space="preserve">. </w:t>
            </w:r>
          </w:p>
          <w:p w:rsidR="009F6630" w:rsidRPr="000C3F83" w:rsidRDefault="00493698" w:rsidP="00493698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Therefore I would not raise this issue and</w:t>
            </w:r>
            <w:r w:rsidR="009F6630">
              <w:rPr>
                <w:rFonts w:eastAsiaTheme="minorEastAsia" w:hint="eastAsia"/>
                <w:lang w:eastAsia="ko-KR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 xml:space="preserve">it is encouraged to express their views directly at the WG 5C or higher level meeting if </w:t>
            </w:r>
            <w:r w:rsidR="009F6630">
              <w:rPr>
                <w:rFonts w:eastAsiaTheme="minorEastAsia" w:hint="eastAsia"/>
                <w:lang w:eastAsia="ko-KR"/>
              </w:rPr>
              <w:t>any Member</w:t>
            </w:r>
            <w:r>
              <w:rPr>
                <w:rFonts w:eastAsiaTheme="minorEastAsia" w:hint="eastAsia"/>
                <w:lang w:eastAsia="ko-KR"/>
              </w:rPr>
              <w:t>s</w:t>
            </w:r>
            <w:r w:rsidR="009F6630">
              <w:rPr>
                <w:rFonts w:eastAsiaTheme="minorEastAsia" w:hint="eastAsia"/>
                <w:lang w:eastAsia="ko-KR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who have</w:t>
            </w:r>
            <w:r w:rsidR="009F6630">
              <w:rPr>
                <w:rFonts w:eastAsiaTheme="minorEastAsia" w:hint="eastAsia"/>
                <w:lang w:eastAsia="ko-KR"/>
              </w:rPr>
              <w:t xml:space="preserve"> the difficulty with those texts</w:t>
            </w:r>
            <w:r>
              <w:rPr>
                <w:rFonts w:eastAsiaTheme="minorEastAsia" w:hint="eastAsia"/>
                <w:lang w:eastAsia="ko-KR"/>
              </w:rPr>
              <w:t>.</w:t>
            </w:r>
          </w:p>
        </w:tc>
      </w:tr>
      <w:tr w:rsidR="00A749D2" w:rsidTr="00711545">
        <w:trPr>
          <w:trHeight w:val="1031"/>
        </w:trPr>
        <w:tc>
          <w:tcPr>
            <w:tcW w:w="9242" w:type="dxa"/>
          </w:tcPr>
          <w:p w:rsidR="00A749D2" w:rsidRPr="00711545" w:rsidRDefault="00A749D2" w:rsidP="009F634A">
            <w:pPr>
              <w:rPr>
                <w:rFonts w:eastAsiaTheme="minorEastAsia"/>
                <w:lang w:eastAsia="ko-KR"/>
              </w:rPr>
            </w:pPr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  <w:r w:rsidR="00D6379F">
              <w:rPr>
                <w:rFonts w:eastAsiaTheme="minorEastAsia" w:hint="eastAsia"/>
                <w:lang w:eastAsia="ko-KR"/>
              </w:rPr>
              <w:t xml:space="preserve"> </w:t>
            </w:r>
            <w:r w:rsidR="005D1E5C">
              <w:rPr>
                <w:rFonts w:eastAsiaTheme="minorEastAsia" w:hint="eastAsia"/>
                <w:lang w:eastAsia="ko-KR"/>
              </w:rPr>
              <w:t xml:space="preserve">Resolution 224 (RevWRC-07) </w:t>
            </w:r>
            <w:r w:rsidR="00FB64D4">
              <w:rPr>
                <w:rFonts w:eastAsiaTheme="minorEastAsia" w:hint="eastAsia"/>
                <w:lang w:eastAsia="ko-KR"/>
              </w:rPr>
              <w:t xml:space="preserve">addresses </w:t>
            </w:r>
            <w:r w:rsidR="00FB64D4" w:rsidRPr="00FB64D4">
              <w:rPr>
                <w:lang w:val="en-GB"/>
              </w:rPr>
              <w:t xml:space="preserve">that administrations planning to implement IMT in the bands mentioned in </w:t>
            </w:r>
            <w:r w:rsidR="00FB64D4" w:rsidRPr="00FB64D4">
              <w:rPr>
                <w:i/>
                <w:lang w:val="en-GB"/>
              </w:rPr>
              <w:t>resolves </w:t>
            </w:r>
            <w:r w:rsidR="00FB64D4" w:rsidRPr="00FB64D4">
              <w:rPr>
                <w:lang w:val="en-GB"/>
              </w:rPr>
              <w:t>2 shall effect coordination with all neighbouring administrations prior to implementation</w:t>
            </w:r>
            <w:r w:rsidR="00711545">
              <w:rPr>
                <w:rFonts w:eastAsiaTheme="minorEastAsia" w:hint="eastAsia"/>
                <w:lang w:val="en-GB" w:eastAsia="ko-KR"/>
              </w:rPr>
              <w:t>.</w:t>
            </w:r>
          </w:p>
        </w:tc>
      </w:tr>
    </w:tbl>
    <w:p w:rsidR="00876DE9" w:rsidRPr="00293CA7" w:rsidRDefault="00876DE9" w:rsidP="00876DE9">
      <w:pPr>
        <w:jc w:val="both"/>
        <w:rPr>
          <w:rFonts w:eastAsiaTheme="minorEastAsia"/>
          <w:snapToGrid w:val="0"/>
          <w:lang w:eastAsia="ko-KR"/>
        </w:rPr>
      </w:pPr>
    </w:p>
    <w:sectPr w:rsidR="00876DE9" w:rsidRPr="00293CA7" w:rsidSect="00DB0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CB4" w:rsidRDefault="00E07CB4">
      <w:r>
        <w:separator/>
      </w:r>
    </w:p>
  </w:endnote>
  <w:endnote w:type="continuationSeparator" w:id="0">
    <w:p w:rsidR="00E07CB4" w:rsidRDefault="00E07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4A" w:rsidRDefault="007A5267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63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634A" w:rsidRDefault="009F634A" w:rsidP="00DB0A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4A" w:rsidRDefault="009F634A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="007A5267"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="007A5267" w:rsidRPr="002C7EA9">
      <w:rPr>
        <w:rStyle w:val="a5"/>
      </w:rPr>
      <w:fldChar w:fldCharType="separate"/>
    </w:r>
    <w:r w:rsidR="00677FE6">
      <w:rPr>
        <w:rStyle w:val="a5"/>
        <w:noProof/>
      </w:rPr>
      <w:t>2</w:t>
    </w:r>
    <w:r w:rsidR="007A5267"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="007A5267"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="007A5267" w:rsidRPr="002C7EA9">
      <w:rPr>
        <w:rStyle w:val="a5"/>
      </w:rPr>
      <w:fldChar w:fldCharType="separate"/>
    </w:r>
    <w:r w:rsidR="00677FE6">
      <w:rPr>
        <w:rStyle w:val="a5"/>
        <w:noProof/>
      </w:rPr>
      <w:t>2</w:t>
    </w:r>
    <w:r w:rsidR="007A5267" w:rsidRPr="002C7EA9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4A" w:rsidRDefault="009F634A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9F634A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F634A" w:rsidRPr="0069153D" w:rsidRDefault="009F634A" w:rsidP="00762576">
          <w:pPr>
            <w:rPr>
              <w:rFonts w:eastAsiaTheme="minorEastAsia"/>
              <w:b/>
              <w:bCs/>
              <w:lang w:eastAsia="ko-KR"/>
            </w:rPr>
          </w:pPr>
          <w:r>
            <w:rPr>
              <w:b/>
              <w:bCs/>
            </w:rPr>
            <w:t>Contact:</w:t>
          </w:r>
          <w:r>
            <w:rPr>
              <w:rFonts w:eastAsiaTheme="minorEastAsia" w:hint="eastAsia"/>
              <w:b/>
              <w:bCs/>
              <w:lang w:eastAsia="ko-KR"/>
            </w:rPr>
            <w:t xml:space="preserve"> 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F634A" w:rsidRPr="0069153D" w:rsidRDefault="009F634A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lang w:eastAsia="ko-KR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F634A" w:rsidRDefault="009F634A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F634A" w:rsidRDefault="009F63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CB4" w:rsidRDefault="00E07CB4">
      <w:r>
        <w:separator/>
      </w:r>
    </w:p>
  </w:footnote>
  <w:footnote w:type="continuationSeparator" w:id="0">
    <w:p w:rsidR="00E07CB4" w:rsidRDefault="00E07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4A" w:rsidRDefault="009F634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4A" w:rsidRDefault="009F634A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F634A" w:rsidRDefault="009F634A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4A" w:rsidRDefault="009F63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749D2"/>
    <w:rsid w:val="00023A18"/>
    <w:rsid w:val="000323E9"/>
    <w:rsid w:val="0003595B"/>
    <w:rsid w:val="00045FBF"/>
    <w:rsid w:val="00062785"/>
    <w:rsid w:val="00064C4C"/>
    <w:rsid w:val="000713CF"/>
    <w:rsid w:val="0009175E"/>
    <w:rsid w:val="000A0654"/>
    <w:rsid w:val="000A5418"/>
    <w:rsid w:val="000A7791"/>
    <w:rsid w:val="000C3F83"/>
    <w:rsid w:val="000D71B0"/>
    <w:rsid w:val="000F0473"/>
    <w:rsid w:val="000F517C"/>
    <w:rsid w:val="000F5540"/>
    <w:rsid w:val="001479E0"/>
    <w:rsid w:val="001539DD"/>
    <w:rsid w:val="0015661F"/>
    <w:rsid w:val="0018046B"/>
    <w:rsid w:val="00196568"/>
    <w:rsid w:val="00197B80"/>
    <w:rsid w:val="001A2F16"/>
    <w:rsid w:val="001A66F4"/>
    <w:rsid w:val="001B18C2"/>
    <w:rsid w:val="001D5D7E"/>
    <w:rsid w:val="00231AB1"/>
    <w:rsid w:val="00236149"/>
    <w:rsid w:val="00243F10"/>
    <w:rsid w:val="00244791"/>
    <w:rsid w:val="00254A1B"/>
    <w:rsid w:val="00261869"/>
    <w:rsid w:val="0028454D"/>
    <w:rsid w:val="00291C9E"/>
    <w:rsid w:val="002926D4"/>
    <w:rsid w:val="00293CA7"/>
    <w:rsid w:val="002945C9"/>
    <w:rsid w:val="002B670F"/>
    <w:rsid w:val="002C07DA"/>
    <w:rsid w:val="002C7EA9"/>
    <w:rsid w:val="002E4D53"/>
    <w:rsid w:val="0030452E"/>
    <w:rsid w:val="00342F20"/>
    <w:rsid w:val="00355E15"/>
    <w:rsid w:val="003574EB"/>
    <w:rsid w:val="00374E6B"/>
    <w:rsid w:val="003809C7"/>
    <w:rsid w:val="003828DE"/>
    <w:rsid w:val="00382D6D"/>
    <w:rsid w:val="00397701"/>
    <w:rsid w:val="003B6263"/>
    <w:rsid w:val="003C64A7"/>
    <w:rsid w:val="003D3FDA"/>
    <w:rsid w:val="003D7A97"/>
    <w:rsid w:val="003F2C43"/>
    <w:rsid w:val="00404DA3"/>
    <w:rsid w:val="004110A9"/>
    <w:rsid w:val="00420822"/>
    <w:rsid w:val="00422124"/>
    <w:rsid w:val="004422DF"/>
    <w:rsid w:val="0045458F"/>
    <w:rsid w:val="004633B4"/>
    <w:rsid w:val="00493698"/>
    <w:rsid w:val="004A2095"/>
    <w:rsid w:val="004A2F0E"/>
    <w:rsid w:val="004A7AC1"/>
    <w:rsid w:val="004B3553"/>
    <w:rsid w:val="004C312A"/>
    <w:rsid w:val="004C4A45"/>
    <w:rsid w:val="004C52B1"/>
    <w:rsid w:val="004D3635"/>
    <w:rsid w:val="004E441E"/>
    <w:rsid w:val="004F3B0C"/>
    <w:rsid w:val="005050DA"/>
    <w:rsid w:val="00530E8C"/>
    <w:rsid w:val="00545933"/>
    <w:rsid w:val="00556844"/>
    <w:rsid w:val="00557544"/>
    <w:rsid w:val="00583350"/>
    <w:rsid w:val="00587875"/>
    <w:rsid w:val="005927C7"/>
    <w:rsid w:val="005938D6"/>
    <w:rsid w:val="005C2C13"/>
    <w:rsid w:val="005D132D"/>
    <w:rsid w:val="005D1E5C"/>
    <w:rsid w:val="006014BC"/>
    <w:rsid w:val="00607E2B"/>
    <w:rsid w:val="00623CE1"/>
    <w:rsid w:val="00626923"/>
    <w:rsid w:val="0063062B"/>
    <w:rsid w:val="00634E57"/>
    <w:rsid w:val="00667229"/>
    <w:rsid w:val="00677FE6"/>
    <w:rsid w:val="00682BE5"/>
    <w:rsid w:val="00690FED"/>
    <w:rsid w:val="0069153D"/>
    <w:rsid w:val="006939A5"/>
    <w:rsid w:val="006A3691"/>
    <w:rsid w:val="006D513B"/>
    <w:rsid w:val="006F5792"/>
    <w:rsid w:val="00711545"/>
    <w:rsid w:val="00712451"/>
    <w:rsid w:val="007129F6"/>
    <w:rsid w:val="00713092"/>
    <w:rsid w:val="00732F08"/>
    <w:rsid w:val="0074190C"/>
    <w:rsid w:val="0074726E"/>
    <w:rsid w:val="00762576"/>
    <w:rsid w:val="007707EC"/>
    <w:rsid w:val="00791060"/>
    <w:rsid w:val="007A5267"/>
    <w:rsid w:val="007A579F"/>
    <w:rsid w:val="007A678D"/>
    <w:rsid w:val="007B5626"/>
    <w:rsid w:val="007C7205"/>
    <w:rsid w:val="007E4AD4"/>
    <w:rsid w:val="007F5032"/>
    <w:rsid w:val="00800274"/>
    <w:rsid w:val="0080570B"/>
    <w:rsid w:val="008148E1"/>
    <w:rsid w:val="008319BF"/>
    <w:rsid w:val="00844FE8"/>
    <w:rsid w:val="00860180"/>
    <w:rsid w:val="00864918"/>
    <w:rsid w:val="0087451E"/>
    <w:rsid w:val="00876DE9"/>
    <w:rsid w:val="00883A99"/>
    <w:rsid w:val="008B5979"/>
    <w:rsid w:val="008C511A"/>
    <w:rsid w:val="008C7F63"/>
    <w:rsid w:val="008D0E09"/>
    <w:rsid w:val="008E0B2B"/>
    <w:rsid w:val="00941BD9"/>
    <w:rsid w:val="00966B58"/>
    <w:rsid w:val="00974A19"/>
    <w:rsid w:val="0097693B"/>
    <w:rsid w:val="00993355"/>
    <w:rsid w:val="009A4A6D"/>
    <w:rsid w:val="009C54B3"/>
    <w:rsid w:val="009C6F50"/>
    <w:rsid w:val="009F634A"/>
    <w:rsid w:val="009F6630"/>
    <w:rsid w:val="00A12B5E"/>
    <w:rsid w:val="00A13265"/>
    <w:rsid w:val="00A35C8B"/>
    <w:rsid w:val="00A44791"/>
    <w:rsid w:val="00A71136"/>
    <w:rsid w:val="00A749D2"/>
    <w:rsid w:val="00A97FB5"/>
    <w:rsid w:val="00AA1071"/>
    <w:rsid w:val="00AA474C"/>
    <w:rsid w:val="00AA669C"/>
    <w:rsid w:val="00AB6878"/>
    <w:rsid w:val="00AD6AD7"/>
    <w:rsid w:val="00AD7E5F"/>
    <w:rsid w:val="00AE1D82"/>
    <w:rsid w:val="00B01AA1"/>
    <w:rsid w:val="00B166AC"/>
    <w:rsid w:val="00B30C81"/>
    <w:rsid w:val="00B4793B"/>
    <w:rsid w:val="00BC727F"/>
    <w:rsid w:val="00BD7E80"/>
    <w:rsid w:val="00BE13C5"/>
    <w:rsid w:val="00BE3A2C"/>
    <w:rsid w:val="00C06091"/>
    <w:rsid w:val="00C104C0"/>
    <w:rsid w:val="00C15633"/>
    <w:rsid w:val="00C15799"/>
    <w:rsid w:val="00C357AD"/>
    <w:rsid w:val="00C3598A"/>
    <w:rsid w:val="00C50C1A"/>
    <w:rsid w:val="00C6069C"/>
    <w:rsid w:val="00C64EBE"/>
    <w:rsid w:val="00C67CC5"/>
    <w:rsid w:val="00C87E5F"/>
    <w:rsid w:val="00CA7CC5"/>
    <w:rsid w:val="00CC0266"/>
    <w:rsid w:val="00CD1E58"/>
    <w:rsid w:val="00CD3F5D"/>
    <w:rsid w:val="00CD5431"/>
    <w:rsid w:val="00CD7AAF"/>
    <w:rsid w:val="00CF2491"/>
    <w:rsid w:val="00D06238"/>
    <w:rsid w:val="00D1252E"/>
    <w:rsid w:val="00D14605"/>
    <w:rsid w:val="00D4622B"/>
    <w:rsid w:val="00D57772"/>
    <w:rsid w:val="00D6379F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DE3434"/>
    <w:rsid w:val="00E00C4B"/>
    <w:rsid w:val="00E0124F"/>
    <w:rsid w:val="00E05ED8"/>
    <w:rsid w:val="00E07CB4"/>
    <w:rsid w:val="00E54DB8"/>
    <w:rsid w:val="00E674D3"/>
    <w:rsid w:val="00E70FD0"/>
    <w:rsid w:val="00E75A3D"/>
    <w:rsid w:val="00E80DFE"/>
    <w:rsid w:val="00E82ED0"/>
    <w:rsid w:val="00E8791E"/>
    <w:rsid w:val="00EB3FEF"/>
    <w:rsid w:val="00EC50D3"/>
    <w:rsid w:val="00F10505"/>
    <w:rsid w:val="00F26F87"/>
    <w:rsid w:val="00F3205B"/>
    <w:rsid w:val="00F65FB4"/>
    <w:rsid w:val="00F84067"/>
    <w:rsid w:val="00FB64D4"/>
    <w:rsid w:val="00F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customStyle="1" w:styleId="Call">
    <w:name w:val="Call"/>
    <w:basedOn w:val="a"/>
    <w:next w:val="a"/>
    <w:link w:val="CallChar"/>
    <w:uiPriority w:val="99"/>
    <w:rsid w:val="00D4622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Theme="minorEastAsia"/>
      <w:i/>
      <w:szCs w:val="20"/>
      <w:lang w:val="en-GB"/>
    </w:rPr>
  </w:style>
  <w:style w:type="character" w:customStyle="1" w:styleId="CallChar">
    <w:name w:val="Call Char"/>
    <w:basedOn w:val="a0"/>
    <w:link w:val="Call"/>
    <w:uiPriority w:val="99"/>
    <w:locked/>
    <w:rsid w:val="00D4622B"/>
    <w:rPr>
      <w:i/>
      <w:sz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9CDC-A21B-46A9-8219-2855ACEC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자원개발담당</cp:lastModifiedBy>
  <cp:revision>5</cp:revision>
  <cp:lastPrinted>2004-07-28T02:14:00Z</cp:lastPrinted>
  <dcterms:created xsi:type="dcterms:W3CDTF">2012-02-05T17:11:00Z</dcterms:created>
  <dcterms:modified xsi:type="dcterms:W3CDTF">2012-02-05T17:39:00Z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