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EB338A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C57543">
        <w:rPr>
          <w:rFonts w:eastAsiaTheme="minorEastAsia" w:hint="eastAsia"/>
          <w:snapToGrid w:val="0"/>
          <w:lang w:eastAsia="ja-JP"/>
        </w:rPr>
        <w:t xml:space="preserve"> </w:t>
      </w:r>
      <w:r w:rsidR="007F57C2">
        <w:rPr>
          <w:rFonts w:eastAsiaTheme="minorEastAsia" w:hint="eastAsia"/>
          <w:snapToGrid w:val="0"/>
          <w:lang w:eastAsia="ja-JP"/>
        </w:rPr>
        <w:t>9</w:t>
      </w:r>
      <w:r w:rsidR="00EB338A">
        <w:rPr>
          <w:rFonts w:eastAsiaTheme="minorEastAsia" w:hint="eastAsia"/>
          <w:snapToGrid w:val="0"/>
          <w:lang w:eastAsia="ja-JP"/>
        </w:rPr>
        <w:t xml:space="preserve"> </w:t>
      </w:r>
      <w:r w:rsidR="001E5455">
        <w:rPr>
          <w:rFonts w:eastAsiaTheme="minorEastAsia" w:hint="eastAsia"/>
          <w:snapToGrid w:val="0"/>
          <w:lang w:eastAsia="ja-JP"/>
        </w:rPr>
        <w:t>February</w:t>
      </w:r>
      <w:r w:rsidR="00EB338A">
        <w:rPr>
          <w:rFonts w:eastAsiaTheme="minorEastAsia" w:hint="eastAsia"/>
          <w:snapToGrid w:val="0"/>
          <w:lang w:eastAsia="ja-JP"/>
        </w:rPr>
        <w:t>,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A749D2" w:rsidTr="00A6153B">
        <w:tc>
          <w:tcPr>
            <w:tcW w:w="9242" w:type="dxa"/>
          </w:tcPr>
          <w:p w:rsidR="00A749D2" w:rsidRPr="000A2A5C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A2A5C">
              <w:rPr>
                <w:rFonts w:eastAsiaTheme="minorEastAsia" w:hint="eastAsia"/>
                <w:lang w:eastAsia="ja-JP"/>
              </w:rPr>
              <w:t>1.8</w:t>
            </w:r>
          </w:p>
        </w:tc>
      </w:tr>
      <w:tr w:rsidR="00A749D2" w:rsidTr="00A6153B">
        <w:tc>
          <w:tcPr>
            <w:tcW w:w="9242" w:type="dxa"/>
          </w:tcPr>
          <w:p w:rsidR="00A749D2" w:rsidRPr="000A2A5C" w:rsidRDefault="00A749D2" w:rsidP="000A2A5C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A2A5C">
              <w:rPr>
                <w:rFonts w:eastAsiaTheme="minorEastAsia" w:hint="eastAsia"/>
                <w:lang w:eastAsia="ja-JP"/>
              </w:rPr>
              <w:t xml:space="preserve">Masashi </w:t>
            </w:r>
            <w:proofErr w:type="spellStart"/>
            <w:r w:rsidR="000A2A5C">
              <w:rPr>
                <w:rFonts w:eastAsiaTheme="minorEastAsia" w:hint="eastAsia"/>
                <w:lang w:eastAsia="ja-JP"/>
              </w:rPr>
              <w:t>Nakatsugawa</w:t>
            </w:r>
            <w:proofErr w:type="spellEnd"/>
            <w:r w:rsidR="000A2A5C">
              <w:rPr>
                <w:rFonts w:eastAsiaTheme="minorEastAsia" w:hint="eastAsia"/>
                <w:lang w:eastAsia="ja-JP"/>
              </w:rPr>
              <w:t xml:space="preserve"> (masashi.nakatsugawa@ties.itu.int)</w:t>
            </w:r>
          </w:p>
        </w:tc>
      </w:tr>
      <w:tr w:rsidR="00A749D2" w:rsidTr="00A6153B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91731E" w:rsidRPr="0091731E" w:rsidRDefault="00CA4C69" w:rsidP="00CA4C69">
            <w:pPr>
              <w:rPr>
                <w:rFonts w:eastAsiaTheme="minorEastAsia"/>
                <w:i/>
                <w:iCs/>
                <w:lang w:eastAsia="ja-JP"/>
              </w:rPr>
            </w:pPr>
            <w:r w:rsidRPr="00632F59">
              <w:rPr>
                <w:i/>
                <w:iCs/>
              </w:rPr>
              <w:t>to consider the progress of ITU</w:t>
            </w:r>
            <w:r w:rsidRPr="00632F59">
              <w:rPr>
                <w:i/>
                <w:iCs/>
              </w:rPr>
              <w:noBreakHyphen/>
              <w:t>R studies concerning the technical and regulatory issues relative to the fixed service in the bands between 71 GHz and 238 GHz, taking into account Resolutions 731 (WRC</w:t>
            </w:r>
            <w:r w:rsidRPr="00632F59">
              <w:rPr>
                <w:i/>
                <w:iCs/>
              </w:rPr>
              <w:noBreakHyphen/>
              <w:t>2000) and 732 (WRC</w:t>
            </w:r>
            <w:r w:rsidRPr="00632F59">
              <w:rPr>
                <w:i/>
                <w:iCs/>
              </w:rPr>
              <w:noBreakHyphen/>
              <w:t>2000);</w:t>
            </w:r>
          </w:p>
        </w:tc>
      </w:tr>
      <w:tr w:rsidR="00A749D2" w:rsidTr="00A6153B">
        <w:tc>
          <w:tcPr>
            <w:tcW w:w="9242" w:type="dxa"/>
          </w:tcPr>
          <w:p w:rsidR="00A749D2" w:rsidRPr="00C57543" w:rsidRDefault="00A749D2" w:rsidP="000A2A5C">
            <w:pPr>
              <w:rPr>
                <w:rFonts w:eastAsiaTheme="minorEastAsia"/>
                <w:lang w:eastAsia="ja-JP"/>
              </w:rPr>
            </w:pPr>
            <w:r w:rsidRPr="000A2A5C">
              <w:rPr>
                <w:b/>
                <w:bCs/>
              </w:rPr>
              <w:t>APT Proposals</w:t>
            </w:r>
            <w:r w:rsidRPr="000A2A5C">
              <w:t>:</w:t>
            </w:r>
            <w:r w:rsidR="00C57543">
              <w:rPr>
                <w:rFonts w:eastAsiaTheme="minorEastAsia" w:hint="eastAsia"/>
                <w:lang w:eastAsia="ja-JP"/>
              </w:rPr>
              <w:t xml:space="preserve"> (</w:t>
            </w:r>
            <w:r w:rsidR="005B28C4">
              <w:rPr>
                <w:rFonts w:eastAsiaTheme="minorEastAsia" w:hint="eastAsia"/>
                <w:lang w:eastAsia="ja-JP"/>
              </w:rPr>
              <w:t>P</w:t>
            </w:r>
            <w:r w:rsidR="00C57543">
              <w:rPr>
                <w:rFonts w:eastAsiaTheme="minorEastAsia" w:hint="eastAsia"/>
                <w:lang w:eastAsia="ja-JP"/>
              </w:rPr>
              <w:t>roposal</w:t>
            </w:r>
            <w:r w:rsidR="005B28C4">
              <w:rPr>
                <w:rFonts w:eastAsiaTheme="minorEastAsia" w:hint="eastAsia"/>
                <w:lang w:eastAsia="ja-JP"/>
              </w:rPr>
              <w:t>s revised</w:t>
            </w:r>
            <w:r w:rsidR="00C57543">
              <w:rPr>
                <w:rFonts w:eastAsiaTheme="minorEastAsia" w:hint="eastAsia"/>
                <w:lang w:eastAsia="ja-JP"/>
              </w:rPr>
              <w:t xml:space="preserve"> since 1 February, 2012)</w:t>
            </w:r>
          </w:p>
          <w:p w:rsidR="000A2A5C" w:rsidRPr="00CA4C69" w:rsidRDefault="00C57543" w:rsidP="00C57543">
            <w:pPr>
              <w:pStyle w:val="Proposal"/>
              <w:spacing w:before="0"/>
              <w:ind w:left="1416" w:hangingChars="590" w:hanging="1416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MOD</w:t>
            </w:r>
            <w:r w:rsidR="000A2A5C" w:rsidRPr="000A2A5C">
              <w:rPr>
                <w:szCs w:val="24"/>
              </w:rPr>
              <w:t xml:space="preserve"> to Article 5 of the Radio Regulations</w:t>
            </w:r>
          </w:p>
          <w:p w:rsidR="000A2A5C" w:rsidRPr="000A2A5C" w:rsidRDefault="00C57543" w:rsidP="000A2A5C">
            <w:pPr>
              <w:pStyle w:val="ResNo"/>
              <w:spacing w:before="0"/>
              <w:jc w:val="lef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MOD</w:t>
            </w:r>
            <w:r w:rsidR="000A2A5C" w:rsidRPr="000A2A5C">
              <w:rPr>
                <w:sz w:val="24"/>
                <w:szCs w:val="24"/>
              </w:rPr>
              <w:t xml:space="preserve"> RESOLUTION 731 (WRC-2000)</w:t>
            </w:r>
          </w:p>
          <w:p w:rsidR="00A749D2" w:rsidRDefault="00C57543" w:rsidP="00371550">
            <w:pPr>
              <w:pStyle w:val="ResNo"/>
              <w:spacing w:before="0"/>
              <w:jc w:val="lef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MOD</w:t>
            </w:r>
            <w:r w:rsidR="000A2A5C" w:rsidRPr="000A2A5C">
              <w:rPr>
                <w:sz w:val="24"/>
                <w:szCs w:val="24"/>
              </w:rPr>
              <w:t xml:space="preserve"> RESOLUTION 732 (WRC-2000)</w:t>
            </w:r>
          </w:p>
          <w:p w:rsidR="0091731E" w:rsidRPr="0091731E" w:rsidRDefault="00C57543" w:rsidP="0091731E">
            <w:pPr>
              <w:rPr>
                <w:rFonts w:eastAsiaTheme="minorEastAsia"/>
                <w:lang w:val="en-GB" w:eastAsia="ja-JP"/>
              </w:rPr>
            </w:pPr>
            <w:r>
              <w:rPr>
                <w:rFonts w:eastAsiaTheme="minorEastAsia" w:hint="eastAsia"/>
                <w:lang w:val="en-GB" w:eastAsia="ja-JP"/>
              </w:rPr>
              <w:t>MOD REOLUSTION 750 (WRC-2007)</w:t>
            </w:r>
          </w:p>
        </w:tc>
      </w:tr>
      <w:tr w:rsidR="00A749D2" w:rsidTr="00271E19">
        <w:trPr>
          <w:trHeight w:val="5328"/>
        </w:trPr>
        <w:tc>
          <w:tcPr>
            <w:tcW w:w="9242" w:type="dxa"/>
          </w:tcPr>
          <w:p w:rsidR="00B944E3" w:rsidRDefault="00A749D2" w:rsidP="00BA0398">
            <w:pPr>
              <w:rPr>
                <w:rFonts w:eastAsiaTheme="minorEastAsia" w:hint="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7F57C2" w:rsidRDefault="007F57C2" w:rsidP="00BA0398">
            <w:pPr>
              <w:rPr>
                <w:rFonts w:eastAsiaTheme="minorEastAsia" w:hint="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b/>
                <w:bCs/>
                <w:lang w:eastAsia="ja-JP"/>
              </w:rPr>
              <w:t>Relevant documents: OJ/103, DT/130</w:t>
            </w:r>
          </w:p>
          <w:p w:rsidR="006F7E0E" w:rsidRDefault="006F7E0E" w:rsidP="00BA0398">
            <w:pPr>
              <w:rPr>
                <w:rFonts w:eastAsiaTheme="minorEastAsia" w:hint="eastAsia"/>
                <w:b/>
                <w:bCs/>
                <w:lang w:eastAsia="ja-JP"/>
              </w:rPr>
            </w:pPr>
          </w:p>
          <w:p w:rsidR="009F4230" w:rsidRDefault="009A5AE5" w:rsidP="00371660">
            <w:pPr>
              <w:ind w:left="142" w:hangingChars="59" w:hanging="142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9F4230">
              <w:rPr>
                <w:rFonts w:eastAsiaTheme="minorEastAsia" w:hint="eastAsia"/>
                <w:lang w:eastAsia="ja-JP"/>
              </w:rPr>
              <w:t xml:space="preserve">At the </w:t>
            </w:r>
            <w:r w:rsidR="00BE7A7E">
              <w:rPr>
                <w:rFonts w:eastAsiaTheme="minorEastAsia" w:hint="eastAsia"/>
                <w:lang w:eastAsia="ja-JP"/>
              </w:rPr>
              <w:t>6</w:t>
            </w:r>
            <w:r w:rsidR="00BE7A7E" w:rsidRPr="00BE7A7E">
              <w:rPr>
                <w:rFonts w:eastAsiaTheme="minorEastAsia" w:hint="eastAsia"/>
                <w:vertAlign w:val="superscript"/>
                <w:lang w:eastAsia="ja-JP"/>
              </w:rPr>
              <w:t>th</w:t>
            </w:r>
            <w:r w:rsidR="00371660">
              <w:rPr>
                <w:rFonts w:eastAsiaTheme="minorEastAsia" w:hint="eastAsia"/>
                <w:lang w:eastAsia="ja-JP"/>
              </w:rPr>
              <w:t xml:space="preserve"> </w:t>
            </w:r>
            <w:r w:rsidR="009F4230">
              <w:rPr>
                <w:rFonts w:eastAsiaTheme="minorEastAsia" w:hint="eastAsia"/>
                <w:lang w:eastAsia="ja-JP"/>
              </w:rPr>
              <w:t>APT coordination meeting, APT members understood Japan</w:t>
            </w:r>
            <w:r w:rsidR="009F4230">
              <w:rPr>
                <w:rFonts w:eastAsiaTheme="minorEastAsia"/>
                <w:lang w:eastAsia="ja-JP"/>
              </w:rPr>
              <w:t>’</w:t>
            </w:r>
            <w:r w:rsidR="009F4230">
              <w:rPr>
                <w:rFonts w:eastAsiaTheme="minorEastAsia" w:hint="eastAsia"/>
                <w:lang w:eastAsia="ja-JP"/>
              </w:rPr>
              <w:t xml:space="preserve">s situation. </w:t>
            </w:r>
            <w:r w:rsidR="00371660">
              <w:rPr>
                <w:rFonts w:eastAsiaTheme="minorEastAsia" w:hint="eastAsia"/>
                <w:lang w:eastAsia="ja-JP"/>
              </w:rPr>
              <w:t xml:space="preserve">The basic </w:t>
            </w:r>
            <w:r w:rsidR="00C316C8">
              <w:rPr>
                <w:rFonts w:eastAsiaTheme="minorEastAsia" w:hint="eastAsia"/>
                <w:lang w:eastAsia="ja-JP"/>
              </w:rPr>
              <w:t>idea</w:t>
            </w:r>
            <w:r w:rsidR="00371660">
              <w:rPr>
                <w:rFonts w:eastAsiaTheme="minorEastAsia" w:hint="eastAsia"/>
                <w:lang w:eastAsia="ja-JP"/>
              </w:rPr>
              <w:t xml:space="preserve"> of the </w:t>
            </w:r>
            <w:r w:rsidR="009F4230">
              <w:rPr>
                <w:rFonts w:eastAsiaTheme="minorEastAsia" w:hint="eastAsia"/>
                <w:lang w:eastAsia="ja-JP"/>
              </w:rPr>
              <w:t>proposal</w:t>
            </w:r>
            <w:r w:rsidR="00BE7A7E">
              <w:rPr>
                <w:rFonts w:eastAsiaTheme="minorEastAsia" w:hint="eastAsia"/>
                <w:lang w:eastAsia="ja-JP"/>
              </w:rPr>
              <w:t xml:space="preserve"> to add footnote 6 to Table 1-2</w:t>
            </w:r>
            <w:r w:rsidR="009F4230">
              <w:rPr>
                <w:rFonts w:eastAsiaTheme="minorEastAsia" w:hint="eastAsia"/>
                <w:lang w:eastAsia="ja-JP"/>
              </w:rPr>
              <w:t xml:space="preserve"> Resolution 750 was </w:t>
            </w:r>
            <w:r w:rsidR="009F4230">
              <w:rPr>
                <w:rFonts w:eastAsiaTheme="minorEastAsia"/>
                <w:lang w:eastAsia="ja-JP"/>
              </w:rPr>
              <w:t>agreed</w:t>
            </w:r>
            <w:r w:rsidR="00BE7A7E">
              <w:rPr>
                <w:rFonts w:eastAsiaTheme="minorEastAsia" w:hint="eastAsia"/>
                <w:lang w:eastAsia="ja-JP"/>
              </w:rPr>
              <w:t xml:space="preserve">. With this footnote, Japan was ready to join the </w:t>
            </w:r>
            <w:r w:rsidR="00BE7A7E">
              <w:rPr>
                <w:rFonts w:eastAsiaTheme="minorEastAsia"/>
                <w:lang w:eastAsia="ja-JP"/>
              </w:rPr>
              <w:t>compromise</w:t>
            </w:r>
            <w:r w:rsidR="00BE7A7E">
              <w:rPr>
                <w:rFonts w:eastAsiaTheme="minorEastAsia" w:hint="eastAsia"/>
                <w:lang w:eastAsia="ja-JP"/>
              </w:rPr>
              <w:t xml:space="preserve"> method proposed by the SWG5C2 Chairman</w:t>
            </w:r>
            <w:r w:rsidR="009F4230">
              <w:rPr>
                <w:rFonts w:eastAsiaTheme="minorEastAsia" w:hint="eastAsia"/>
                <w:lang w:eastAsia="ja-JP"/>
              </w:rPr>
              <w:t>.</w:t>
            </w:r>
          </w:p>
          <w:p w:rsidR="009316E3" w:rsidRDefault="009F4230" w:rsidP="00CD6FC3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9A71F5">
              <w:rPr>
                <w:rFonts w:eastAsiaTheme="minorEastAsia" w:hint="eastAsia"/>
                <w:lang w:eastAsia="ja-JP"/>
              </w:rPr>
              <w:t>At</w:t>
            </w:r>
            <w:r w:rsidR="009A5AE5">
              <w:rPr>
                <w:rFonts w:eastAsiaTheme="minorEastAsia" w:hint="eastAsia"/>
                <w:lang w:eastAsia="ja-JP"/>
              </w:rPr>
              <w:t xml:space="preserve"> the</w:t>
            </w:r>
            <w:r w:rsidR="009A71F5">
              <w:rPr>
                <w:rFonts w:eastAsiaTheme="minorEastAsia" w:hint="eastAsia"/>
                <w:lang w:eastAsia="ja-JP"/>
              </w:rPr>
              <w:t xml:space="preserve"> </w:t>
            </w:r>
            <w:r w:rsidR="007F57C2">
              <w:rPr>
                <w:rFonts w:eastAsiaTheme="minorEastAsia" w:hint="eastAsia"/>
                <w:lang w:eastAsia="ja-JP"/>
              </w:rPr>
              <w:t>11</w:t>
            </w:r>
            <w:r w:rsidR="007F57C2" w:rsidRPr="007F57C2">
              <w:rPr>
                <w:rFonts w:eastAsiaTheme="minorEastAsia" w:hint="eastAsia"/>
                <w:vertAlign w:val="superscript"/>
                <w:lang w:eastAsia="ja-JP"/>
              </w:rPr>
              <w:t>th</w:t>
            </w:r>
            <w:r w:rsidR="007F57C2">
              <w:rPr>
                <w:rFonts w:eastAsiaTheme="minorEastAsia" w:hint="eastAsia"/>
                <w:lang w:eastAsia="ja-JP"/>
              </w:rPr>
              <w:t xml:space="preserve"> WG5C meeting</w:t>
            </w:r>
            <w:r w:rsidR="009316E3">
              <w:rPr>
                <w:rFonts w:eastAsiaTheme="minorEastAsia" w:hint="eastAsia"/>
                <w:lang w:eastAsia="ja-JP"/>
              </w:rPr>
              <w:t xml:space="preserve">, </w:t>
            </w:r>
            <w:r w:rsidR="00BE7A7E">
              <w:rPr>
                <w:rFonts w:eastAsiaTheme="minorEastAsia" w:hint="eastAsia"/>
                <w:lang w:eastAsia="ja-JP"/>
              </w:rPr>
              <w:t xml:space="preserve">the SWG5C2 </w:t>
            </w:r>
            <w:r w:rsidR="00BE7A7E">
              <w:rPr>
                <w:rFonts w:eastAsiaTheme="minorEastAsia"/>
                <w:lang w:eastAsia="ja-JP"/>
              </w:rPr>
              <w:t>Chairman</w:t>
            </w:r>
            <w:r w:rsidR="00BE7A7E">
              <w:rPr>
                <w:rFonts w:eastAsiaTheme="minorEastAsia" w:hint="eastAsia"/>
                <w:lang w:eastAsia="ja-JP"/>
              </w:rPr>
              <w:t xml:space="preserve"> presented the results. </w:t>
            </w:r>
            <w:r w:rsidR="007F57C2">
              <w:rPr>
                <w:rFonts w:eastAsiaTheme="minorEastAsia" w:hint="eastAsia"/>
                <w:lang w:eastAsia="ja-JP"/>
              </w:rPr>
              <w:t xml:space="preserve">The material was prepared so as to </w:t>
            </w:r>
            <w:r w:rsidR="007F57C2">
              <w:rPr>
                <w:rFonts w:eastAsiaTheme="minorEastAsia"/>
                <w:lang w:eastAsia="ja-JP"/>
              </w:rPr>
              <w:t>highlight</w:t>
            </w:r>
            <w:r w:rsidR="007F57C2">
              <w:rPr>
                <w:rFonts w:eastAsiaTheme="minorEastAsia" w:hint="eastAsia"/>
                <w:lang w:eastAsia="ja-JP"/>
              </w:rPr>
              <w:t xml:space="preserve"> the difference of Option1 </w:t>
            </w:r>
            <w:r>
              <w:rPr>
                <w:rFonts w:eastAsiaTheme="minorEastAsia" w:hint="eastAsia"/>
                <w:lang w:eastAsia="ja-JP"/>
              </w:rPr>
              <w:t xml:space="preserve">(MOD RR, Res. 731, </w:t>
            </w:r>
            <w:r w:rsidR="00C316C8">
              <w:rPr>
                <w:rFonts w:eastAsiaTheme="minorEastAsia" w:hint="eastAsia"/>
                <w:lang w:eastAsia="ja-JP"/>
              </w:rPr>
              <w:t xml:space="preserve">732, </w:t>
            </w:r>
            <w:r>
              <w:rPr>
                <w:rFonts w:eastAsiaTheme="minorEastAsia" w:hint="eastAsia"/>
                <w:lang w:eastAsia="ja-JP"/>
              </w:rPr>
              <w:t>750</w:t>
            </w:r>
            <w:proofErr w:type="gramStart"/>
            <w:r>
              <w:rPr>
                <w:rFonts w:eastAsiaTheme="minorEastAsia" w:hint="eastAsia"/>
                <w:lang w:eastAsia="ja-JP"/>
              </w:rPr>
              <w:t>)</w:t>
            </w:r>
            <w:r w:rsidR="00BE7A7E">
              <w:rPr>
                <w:rFonts w:eastAsiaTheme="minorEastAsia" w:hint="eastAsia"/>
                <w:lang w:eastAsia="ja-JP"/>
              </w:rPr>
              <w:t>(</w:t>
            </w:r>
            <w:proofErr w:type="gramEnd"/>
            <w:r w:rsidR="00BE7A7E">
              <w:rPr>
                <w:rFonts w:eastAsiaTheme="minorEastAsia" w:hint="eastAsia"/>
                <w:lang w:eastAsia="ja-JP"/>
              </w:rPr>
              <w:t>all regional groups except ASMG and Japan)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="007F57C2">
              <w:rPr>
                <w:rFonts w:eastAsiaTheme="minorEastAsia" w:hint="eastAsia"/>
                <w:lang w:eastAsia="ja-JP"/>
              </w:rPr>
              <w:t>and Option</w:t>
            </w:r>
            <w:r w:rsidR="00371660">
              <w:rPr>
                <w:rFonts w:eastAsiaTheme="minorEastAsia" w:hint="eastAsia"/>
                <w:lang w:eastAsia="ja-JP"/>
              </w:rPr>
              <w:t xml:space="preserve"> </w:t>
            </w:r>
            <w:r w:rsidR="007F57C2">
              <w:rPr>
                <w:rFonts w:eastAsiaTheme="minorEastAsia" w:hint="eastAsia"/>
                <w:lang w:eastAsia="ja-JP"/>
              </w:rPr>
              <w:t>2</w:t>
            </w:r>
            <w:r>
              <w:rPr>
                <w:rFonts w:eastAsiaTheme="minorEastAsia" w:hint="eastAsia"/>
                <w:lang w:eastAsia="ja-JP"/>
              </w:rPr>
              <w:t xml:space="preserve"> (NOC RR, 750, MOD 731</w:t>
            </w:r>
            <w:r w:rsidR="00C316C8">
              <w:rPr>
                <w:rFonts w:eastAsiaTheme="minorEastAsia" w:hint="eastAsia"/>
                <w:lang w:eastAsia="ja-JP"/>
              </w:rPr>
              <w:t>, 732</w:t>
            </w:r>
            <w:r>
              <w:rPr>
                <w:rFonts w:eastAsiaTheme="minorEastAsia" w:hint="eastAsia"/>
                <w:lang w:eastAsia="ja-JP"/>
              </w:rPr>
              <w:t>)</w:t>
            </w:r>
            <w:r w:rsidR="00BE7A7E">
              <w:rPr>
                <w:rFonts w:eastAsiaTheme="minorEastAsia" w:hint="eastAsia"/>
                <w:lang w:eastAsia="ja-JP"/>
              </w:rPr>
              <w:t>(ASMG and Japan)</w:t>
            </w:r>
            <w:r w:rsidR="007F57C2">
              <w:rPr>
                <w:rFonts w:eastAsiaTheme="minorEastAsia" w:hint="eastAsia"/>
                <w:lang w:eastAsia="ja-JP"/>
              </w:rPr>
              <w:t xml:space="preserve">. </w:t>
            </w:r>
            <w:r w:rsidR="00BE7A7E">
              <w:rPr>
                <w:rFonts w:eastAsiaTheme="minorEastAsia" w:hint="eastAsia"/>
                <w:lang w:eastAsia="ja-JP"/>
              </w:rPr>
              <w:t xml:space="preserve">The SWG Chairman also explained that Japan was ready to </w:t>
            </w:r>
            <w:r w:rsidR="00371660">
              <w:rPr>
                <w:rFonts w:eastAsiaTheme="minorEastAsia" w:hint="eastAsia"/>
                <w:lang w:eastAsia="ja-JP"/>
              </w:rPr>
              <w:t xml:space="preserve">join the Option1 in case that </w:t>
            </w:r>
            <w:proofErr w:type="gramStart"/>
            <w:r w:rsidR="00371660">
              <w:rPr>
                <w:rFonts w:eastAsiaTheme="minorEastAsia" w:hint="eastAsia"/>
                <w:lang w:eastAsia="ja-JP"/>
              </w:rPr>
              <w:t>its</w:t>
            </w:r>
            <w:proofErr w:type="gramEnd"/>
            <w:r w:rsidR="00371660">
              <w:rPr>
                <w:rFonts w:eastAsiaTheme="minorEastAsia" w:hint="eastAsia"/>
                <w:lang w:eastAsia="ja-JP"/>
              </w:rPr>
              <w:t xml:space="preserve"> proposed footnote was </w:t>
            </w:r>
            <w:r w:rsidR="006F7E0E">
              <w:rPr>
                <w:rFonts w:eastAsiaTheme="minorEastAsia" w:hint="eastAsia"/>
                <w:lang w:eastAsia="ja-JP"/>
              </w:rPr>
              <w:t>accepted to add</w:t>
            </w:r>
            <w:r w:rsidR="00371660">
              <w:rPr>
                <w:rFonts w:eastAsiaTheme="minorEastAsia" w:hint="eastAsia"/>
                <w:lang w:eastAsia="ja-JP"/>
              </w:rPr>
              <w:t xml:space="preserve"> to the Table 1-2 Resolution 750. </w:t>
            </w:r>
          </w:p>
          <w:p w:rsidR="00C32691" w:rsidRDefault="007F6DE2" w:rsidP="00BE7A7E">
            <w:pPr>
              <w:ind w:left="142" w:hangingChars="59" w:hanging="142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371660">
              <w:rPr>
                <w:rFonts w:eastAsiaTheme="minorEastAsia" w:hint="eastAsia"/>
                <w:lang w:eastAsia="ja-JP"/>
              </w:rPr>
              <w:t xml:space="preserve">Although WG5C participants understood the background and </w:t>
            </w:r>
            <w:r w:rsidR="00371660">
              <w:rPr>
                <w:rFonts w:eastAsiaTheme="minorEastAsia"/>
                <w:lang w:eastAsia="ja-JP"/>
              </w:rPr>
              <w:t>reason</w:t>
            </w:r>
            <w:r w:rsidR="00371660">
              <w:rPr>
                <w:rFonts w:eastAsiaTheme="minorEastAsia" w:hint="eastAsia"/>
                <w:lang w:eastAsia="ja-JP"/>
              </w:rPr>
              <w:t xml:space="preserve"> </w:t>
            </w:r>
            <w:r w:rsidR="006F7E0E">
              <w:rPr>
                <w:rFonts w:eastAsiaTheme="minorEastAsia" w:hint="eastAsia"/>
                <w:lang w:eastAsia="ja-JP"/>
              </w:rPr>
              <w:t>for</w:t>
            </w:r>
            <w:r w:rsidR="00371660">
              <w:rPr>
                <w:rFonts w:eastAsiaTheme="minorEastAsia" w:hint="eastAsia"/>
                <w:lang w:eastAsia="ja-JP"/>
              </w:rPr>
              <w:t xml:space="preserve"> the footnote, some Administrations </w:t>
            </w:r>
            <w:r w:rsidR="00C316C8">
              <w:rPr>
                <w:rFonts w:eastAsiaTheme="minorEastAsia" w:hint="eastAsia"/>
                <w:lang w:eastAsia="ja-JP"/>
              </w:rPr>
              <w:t xml:space="preserve">expressed their concerns and </w:t>
            </w:r>
            <w:r w:rsidR="00E0516D">
              <w:rPr>
                <w:rFonts w:eastAsiaTheme="minorEastAsia" w:hint="eastAsia"/>
                <w:lang w:eastAsia="ja-JP"/>
              </w:rPr>
              <w:t>requested to modify the wording of the sentence prepared for the footnote. After several discussions, the modified text was agreed.</w:t>
            </w:r>
          </w:p>
          <w:p w:rsidR="00E0516D" w:rsidRDefault="00E0516D" w:rsidP="00BE7A7E">
            <w:pPr>
              <w:ind w:left="142" w:hangingChars="59" w:hanging="14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-The texts for revised Resolutions 731, 732 and 750 with footnote 6, which were included in Option 1 part of DT/130, were </w:t>
            </w:r>
            <w:r>
              <w:rPr>
                <w:rFonts w:eastAsiaTheme="minorEastAsia"/>
                <w:lang w:eastAsia="ja-JP"/>
              </w:rPr>
              <w:t>finally</w:t>
            </w:r>
            <w:r>
              <w:rPr>
                <w:rFonts w:eastAsiaTheme="minorEastAsia" w:hint="eastAsia"/>
                <w:lang w:eastAsia="ja-JP"/>
              </w:rPr>
              <w:t xml:space="preserve"> approved in the WG5C. ASMG reserved its right to check the values for the 86-92GHz spectrum mask</w:t>
            </w:r>
            <w:r w:rsidR="00477C9F">
              <w:rPr>
                <w:rFonts w:eastAsiaTheme="minorEastAsia" w:hint="eastAsia"/>
                <w:lang w:eastAsia="ja-JP"/>
              </w:rPr>
              <w:t xml:space="preserve"> in the proposed Table1-</w:t>
            </w:r>
            <w:proofErr w:type="gramStart"/>
            <w:r w:rsidR="00477C9F">
              <w:rPr>
                <w:rFonts w:eastAsiaTheme="minorEastAsia" w:hint="eastAsia"/>
                <w:lang w:eastAsia="ja-JP"/>
              </w:rPr>
              <w:t xml:space="preserve">2 </w:t>
            </w:r>
            <w:r>
              <w:rPr>
                <w:rFonts w:eastAsiaTheme="minorEastAsia" w:hint="eastAsia"/>
                <w:lang w:eastAsia="ja-JP"/>
              </w:rPr>
              <w:t>.</w:t>
            </w:r>
            <w:proofErr w:type="gramEnd"/>
          </w:p>
          <w:p w:rsidR="009316E3" w:rsidRPr="00F22A19" w:rsidRDefault="009316E3" w:rsidP="00CD6FC3">
            <w:pPr>
              <w:ind w:left="142" w:hangingChars="59" w:hanging="142"/>
              <w:rPr>
                <w:rFonts w:eastAsiaTheme="minorEastAsia"/>
                <w:lang w:eastAsia="ja-JP"/>
              </w:rPr>
            </w:pPr>
          </w:p>
          <w:p w:rsidR="00B944E3" w:rsidRDefault="009A5AE5" w:rsidP="006F7E0E">
            <w:pPr>
              <w:ind w:left="142" w:hangingChars="59" w:hanging="142"/>
              <w:rPr>
                <w:rFonts w:eastAsiaTheme="minorEastAsia" w:hint="eastAsia"/>
                <w:b/>
                <w:u w:val="single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 xml:space="preserve">APT proposal </w:t>
            </w:r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 xml:space="preserve">with the </w:t>
            </w:r>
            <w:proofErr w:type="gramStart"/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>Japan</w:t>
            </w:r>
            <w:r w:rsidR="006F7E0E">
              <w:rPr>
                <w:rFonts w:eastAsiaTheme="minorEastAsia"/>
                <w:b/>
                <w:u w:val="single"/>
                <w:lang w:eastAsia="ja-JP"/>
              </w:rPr>
              <w:t>’</w:t>
            </w:r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 xml:space="preserve"> s</w:t>
            </w:r>
            <w:proofErr w:type="gramEnd"/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 xml:space="preserve"> footnote to the </w:t>
            </w:r>
            <w:r w:rsidR="00C316C8">
              <w:rPr>
                <w:rFonts w:eastAsiaTheme="minorEastAsia" w:hint="eastAsia"/>
                <w:b/>
                <w:u w:val="single"/>
                <w:lang w:eastAsia="ja-JP"/>
              </w:rPr>
              <w:t xml:space="preserve">Table1-2 </w:t>
            </w:r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>Reso</w:t>
            </w:r>
            <w:r w:rsidR="00F91340">
              <w:rPr>
                <w:rFonts w:eastAsiaTheme="minorEastAsia" w:hint="eastAsia"/>
                <w:b/>
                <w:u w:val="single"/>
                <w:lang w:eastAsia="ja-JP"/>
              </w:rPr>
              <w:t>l</w:t>
            </w:r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 xml:space="preserve">ution 750 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 xml:space="preserve">was </w:t>
            </w:r>
            <w:r w:rsidR="00F91340">
              <w:rPr>
                <w:rFonts w:eastAsiaTheme="minorEastAsia" w:hint="eastAsia"/>
                <w:b/>
                <w:u w:val="single"/>
                <w:lang w:eastAsia="ja-JP"/>
              </w:rPr>
              <w:t>a</w:t>
            </w:r>
            <w:r w:rsidR="00477C9F">
              <w:rPr>
                <w:rFonts w:eastAsiaTheme="minorEastAsia" w:hint="eastAsia"/>
                <w:b/>
                <w:u w:val="single"/>
                <w:lang w:eastAsia="ja-JP"/>
              </w:rPr>
              <w:t>pprove</w:t>
            </w:r>
            <w:bookmarkStart w:id="0" w:name="_GoBack"/>
            <w:bookmarkEnd w:id="0"/>
            <w:r w:rsidR="00F91340">
              <w:rPr>
                <w:rFonts w:eastAsiaTheme="minorEastAsia" w:hint="eastAsia"/>
                <w:b/>
                <w:u w:val="single"/>
                <w:lang w:eastAsia="ja-JP"/>
              </w:rPr>
              <w:t>d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 xml:space="preserve"> as</w:t>
            </w:r>
            <w:r w:rsidR="00C32691" w:rsidRPr="00271E19">
              <w:rPr>
                <w:rFonts w:eastAsiaTheme="minorEastAsia"/>
                <w:b/>
                <w:u w:val="single"/>
                <w:lang w:eastAsia="ja-JP"/>
              </w:rPr>
              <w:t xml:space="preserve"> the </w:t>
            </w:r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 xml:space="preserve">method to be </w:t>
            </w:r>
            <w:r w:rsidR="00477C9F">
              <w:rPr>
                <w:rFonts w:eastAsiaTheme="minorEastAsia" w:hint="eastAsia"/>
                <w:b/>
                <w:u w:val="single"/>
                <w:lang w:eastAsia="ja-JP"/>
              </w:rPr>
              <w:t>reviewed</w:t>
            </w:r>
            <w:r w:rsidR="006F7E0E">
              <w:rPr>
                <w:rFonts w:eastAsiaTheme="minorEastAsia" w:hint="eastAsia"/>
                <w:b/>
                <w:u w:val="single"/>
                <w:lang w:eastAsia="ja-JP"/>
              </w:rPr>
              <w:t xml:space="preserve"> at the next COM5 meeting</w:t>
            </w:r>
            <w:r w:rsidR="00C32691" w:rsidRPr="00271E19">
              <w:rPr>
                <w:rFonts w:eastAsiaTheme="minorEastAsia" w:hint="eastAsia"/>
                <w:b/>
                <w:u w:val="single"/>
                <w:lang w:eastAsia="ja-JP"/>
              </w:rPr>
              <w:t>.</w:t>
            </w:r>
          </w:p>
          <w:p w:rsidR="006F7E0E" w:rsidRPr="007F6DE2" w:rsidRDefault="006F7E0E" w:rsidP="006F7E0E">
            <w:pPr>
              <w:ind w:left="142" w:hangingChars="59" w:hanging="142"/>
              <w:rPr>
                <w:rFonts w:eastAsiaTheme="minorEastAsia"/>
                <w:lang w:eastAsia="ja-JP"/>
              </w:rPr>
            </w:pPr>
          </w:p>
        </w:tc>
      </w:tr>
      <w:tr w:rsidR="00A749D2" w:rsidTr="00271E19">
        <w:trPr>
          <w:trHeight w:val="839"/>
        </w:trPr>
        <w:tc>
          <w:tcPr>
            <w:tcW w:w="9242" w:type="dxa"/>
          </w:tcPr>
          <w:p w:rsidR="00A749D2" w:rsidRPr="0036552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  <w:r w:rsidR="00365522">
              <w:rPr>
                <w:rFonts w:eastAsiaTheme="minorEastAsia" w:hint="eastAsia"/>
                <w:b/>
                <w:bCs/>
                <w:lang w:eastAsia="ja-JP"/>
              </w:rPr>
              <w:t xml:space="preserve"> </w:t>
            </w:r>
          </w:p>
          <w:p w:rsidR="009141C3" w:rsidRPr="00DD20FE" w:rsidRDefault="00DD20FE" w:rsidP="006F7E0E">
            <w:pPr>
              <w:ind w:left="142" w:hangingChars="59" w:hanging="142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-</w:t>
            </w:r>
            <w:r w:rsidR="006F7E0E">
              <w:rPr>
                <w:rFonts w:eastAsiaTheme="minorEastAsia" w:hint="eastAsia"/>
                <w:bCs/>
                <w:lang w:eastAsia="ja-JP"/>
              </w:rPr>
              <w:t>N/A</w:t>
            </w:r>
          </w:p>
        </w:tc>
      </w:tr>
      <w:tr w:rsidR="00A749D2" w:rsidTr="00A6153B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C316C8" w:rsidRDefault="00C316C8" w:rsidP="00F91340">
            <w:pPr>
              <w:ind w:left="142" w:hangingChars="59" w:hanging="142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 w:rsidR="00F91340">
              <w:rPr>
                <w:rFonts w:eastAsiaTheme="minorEastAsia" w:hint="eastAsia"/>
                <w:lang w:eastAsia="ja-JP"/>
              </w:rPr>
              <w:t>I</w:t>
            </w:r>
            <w:r w:rsidR="00F91340">
              <w:rPr>
                <w:rFonts w:eastAsiaTheme="minorEastAsia"/>
                <w:lang w:eastAsia="ja-JP"/>
              </w:rPr>
              <w:t>’</w:t>
            </w:r>
            <w:r w:rsidR="00F91340">
              <w:rPr>
                <w:rFonts w:eastAsiaTheme="minorEastAsia" w:hint="eastAsia"/>
                <w:lang w:eastAsia="ja-JP"/>
              </w:rPr>
              <w:t>d like to thank all participants for their fruitful discussions in the Informal meeting, SWG5C2 and WG5C. This AI will be discussed at next COM5.</w:t>
            </w:r>
          </w:p>
          <w:p w:rsidR="00624468" w:rsidRPr="00F22A19" w:rsidRDefault="00624468" w:rsidP="00C316C8">
            <w:pPr>
              <w:rPr>
                <w:rFonts w:eastAsiaTheme="minorEastAsia"/>
                <w:lang w:eastAsia="ja-JP"/>
              </w:rPr>
            </w:pPr>
          </w:p>
        </w:tc>
      </w:tr>
    </w:tbl>
    <w:p w:rsidR="009141C3" w:rsidRDefault="009141C3" w:rsidP="009141C3">
      <w:pPr>
        <w:rPr>
          <w:rFonts w:eastAsiaTheme="minorEastAsia"/>
          <w:b/>
          <w:bCs/>
          <w:sz w:val="28"/>
          <w:lang w:eastAsia="ja-JP"/>
        </w:rPr>
      </w:pPr>
    </w:p>
    <w:sectPr w:rsidR="009141C3" w:rsidSect="00624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26" w:rsidRDefault="00FC0D26">
      <w:r>
        <w:separator/>
      </w:r>
    </w:p>
  </w:endnote>
  <w:endnote w:type="continuationSeparator" w:id="0">
    <w:p w:rsidR="00FC0D26" w:rsidRDefault="00F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340">
      <w:rPr>
        <w:rStyle w:val="a5"/>
        <w:noProof/>
      </w:rPr>
      <w:t>2</w: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624468"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624468"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26" w:rsidRDefault="00FC0D26">
      <w:r>
        <w:separator/>
      </w:r>
    </w:p>
  </w:footnote>
  <w:footnote w:type="continuationSeparator" w:id="0">
    <w:p w:rsidR="00FC0D26" w:rsidRDefault="00FC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8" w:rsidRDefault="006244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Pr="00624468" w:rsidRDefault="0097693B" w:rsidP="00AD7E5F">
    <w:pPr>
      <w:pStyle w:val="a7"/>
      <w:tabs>
        <w:tab w:val="center" w:pos="4763"/>
        <w:tab w:val="left" w:pos="5820"/>
      </w:tabs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8" w:rsidRDefault="00624468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2CF0"/>
    <w:rsid w:val="0003595B"/>
    <w:rsid w:val="000713CF"/>
    <w:rsid w:val="00073936"/>
    <w:rsid w:val="0009175E"/>
    <w:rsid w:val="000A0654"/>
    <w:rsid w:val="000A2A5C"/>
    <w:rsid w:val="000A5418"/>
    <w:rsid w:val="000A7791"/>
    <w:rsid w:val="000C08E0"/>
    <w:rsid w:val="000F517C"/>
    <w:rsid w:val="000F5540"/>
    <w:rsid w:val="001027A2"/>
    <w:rsid w:val="00106D5A"/>
    <w:rsid w:val="001070A9"/>
    <w:rsid w:val="0010758F"/>
    <w:rsid w:val="00123611"/>
    <w:rsid w:val="00145A05"/>
    <w:rsid w:val="001539DD"/>
    <w:rsid w:val="001542E6"/>
    <w:rsid w:val="0015661F"/>
    <w:rsid w:val="001653E7"/>
    <w:rsid w:val="0018046B"/>
    <w:rsid w:val="00196568"/>
    <w:rsid w:val="001A2F16"/>
    <w:rsid w:val="001A66F4"/>
    <w:rsid w:val="001B18C2"/>
    <w:rsid w:val="001D5D7E"/>
    <w:rsid w:val="001D79E7"/>
    <w:rsid w:val="001E5455"/>
    <w:rsid w:val="0020209A"/>
    <w:rsid w:val="00231AB1"/>
    <w:rsid w:val="00235A09"/>
    <w:rsid w:val="00243F10"/>
    <w:rsid w:val="00244791"/>
    <w:rsid w:val="00254A1B"/>
    <w:rsid w:val="00261869"/>
    <w:rsid w:val="002708D5"/>
    <w:rsid w:val="00271E19"/>
    <w:rsid w:val="00275FF9"/>
    <w:rsid w:val="0028454D"/>
    <w:rsid w:val="0028599A"/>
    <w:rsid w:val="00291C9E"/>
    <w:rsid w:val="002926D4"/>
    <w:rsid w:val="002945C9"/>
    <w:rsid w:val="00294ED2"/>
    <w:rsid w:val="002A1E87"/>
    <w:rsid w:val="002B670F"/>
    <w:rsid w:val="002C07DA"/>
    <w:rsid w:val="002C7EA9"/>
    <w:rsid w:val="002E3F98"/>
    <w:rsid w:val="002E4D53"/>
    <w:rsid w:val="002E5270"/>
    <w:rsid w:val="002F79DF"/>
    <w:rsid w:val="0030452E"/>
    <w:rsid w:val="00327102"/>
    <w:rsid w:val="003422F3"/>
    <w:rsid w:val="00342F20"/>
    <w:rsid w:val="00355D10"/>
    <w:rsid w:val="003574EB"/>
    <w:rsid w:val="00364801"/>
    <w:rsid w:val="00365522"/>
    <w:rsid w:val="00371456"/>
    <w:rsid w:val="00371550"/>
    <w:rsid w:val="00371660"/>
    <w:rsid w:val="00374E6B"/>
    <w:rsid w:val="003809C7"/>
    <w:rsid w:val="00382D6D"/>
    <w:rsid w:val="003854A5"/>
    <w:rsid w:val="00397701"/>
    <w:rsid w:val="003A2651"/>
    <w:rsid w:val="003B152C"/>
    <w:rsid w:val="003B6263"/>
    <w:rsid w:val="003C64A7"/>
    <w:rsid w:val="003D3FDA"/>
    <w:rsid w:val="003F2C43"/>
    <w:rsid w:val="00404DA3"/>
    <w:rsid w:val="00420822"/>
    <w:rsid w:val="00422124"/>
    <w:rsid w:val="00427ED7"/>
    <w:rsid w:val="004422DF"/>
    <w:rsid w:val="00442FB7"/>
    <w:rsid w:val="0045458F"/>
    <w:rsid w:val="004633B4"/>
    <w:rsid w:val="00477C9F"/>
    <w:rsid w:val="004B3553"/>
    <w:rsid w:val="004C4A45"/>
    <w:rsid w:val="004C52B1"/>
    <w:rsid w:val="004D3635"/>
    <w:rsid w:val="004E441E"/>
    <w:rsid w:val="004F3B0C"/>
    <w:rsid w:val="005050DA"/>
    <w:rsid w:val="00530E8C"/>
    <w:rsid w:val="005321DC"/>
    <w:rsid w:val="00536413"/>
    <w:rsid w:val="00545933"/>
    <w:rsid w:val="00557544"/>
    <w:rsid w:val="00587875"/>
    <w:rsid w:val="00595B91"/>
    <w:rsid w:val="005A4B3F"/>
    <w:rsid w:val="005B28C4"/>
    <w:rsid w:val="005C2C13"/>
    <w:rsid w:val="00607E2B"/>
    <w:rsid w:val="00623CE1"/>
    <w:rsid w:val="00624468"/>
    <w:rsid w:val="00626923"/>
    <w:rsid w:val="0063062B"/>
    <w:rsid w:val="00634E57"/>
    <w:rsid w:val="00667229"/>
    <w:rsid w:val="0068050F"/>
    <w:rsid w:val="00682BE5"/>
    <w:rsid w:val="00690FED"/>
    <w:rsid w:val="006939A5"/>
    <w:rsid w:val="006A3691"/>
    <w:rsid w:val="006B3CDB"/>
    <w:rsid w:val="006E69A3"/>
    <w:rsid w:val="006F5792"/>
    <w:rsid w:val="006F7E0E"/>
    <w:rsid w:val="00712451"/>
    <w:rsid w:val="00713EA4"/>
    <w:rsid w:val="00732F08"/>
    <w:rsid w:val="0074190C"/>
    <w:rsid w:val="007433C0"/>
    <w:rsid w:val="0074726E"/>
    <w:rsid w:val="00762576"/>
    <w:rsid w:val="00791060"/>
    <w:rsid w:val="007B2BA1"/>
    <w:rsid w:val="007B5626"/>
    <w:rsid w:val="007C7205"/>
    <w:rsid w:val="007D1D0D"/>
    <w:rsid w:val="007D7DDF"/>
    <w:rsid w:val="007E4AD4"/>
    <w:rsid w:val="007F57C2"/>
    <w:rsid w:val="007F6DE2"/>
    <w:rsid w:val="0080570B"/>
    <w:rsid w:val="008148E1"/>
    <w:rsid w:val="008319BF"/>
    <w:rsid w:val="00833BEA"/>
    <w:rsid w:val="00860180"/>
    <w:rsid w:val="008639B0"/>
    <w:rsid w:val="00864918"/>
    <w:rsid w:val="0087451E"/>
    <w:rsid w:val="00876DE9"/>
    <w:rsid w:val="00883A99"/>
    <w:rsid w:val="008A17B9"/>
    <w:rsid w:val="008C7F63"/>
    <w:rsid w:val="008D0E09"/>
    <w:rsid w:val="008E0887"/>
    <w:rsid w:val="008E0B2B"/>
    <w:rsid w:val="009141C3"/>
    <w:rsid w:val="0091731E"/>
    <w:rsid w:val="009316E3"/>
    <w:rsid w:val="00934DD1"/>
    <w:rsid w:val="00941BD9"/>
    <w:rsid w:val="00943997"/>
    <w:rsid w:val="00955F59"/>
    <w:rsid w:val="0097693B"/>
    <w:rsid w:val="00993355"/>
    <w:rsid w:val="009A4A6D"/>
    <w:rsid w:val="009A5AE5"/>
    <w:rsid w:val="009A693F"/>
    <w:rsid w:val="009A71F5"/>
    <w:rsid w:val="009B12DF"/>
    <w:rsid w:val="009F4230"/>
    <w:rsid w:val="00A07A5D"/>
    <w:rsid w:val="00A13265"/>
    <w:rsid w:val="00A35C8B"/>
    <w:rsid w:val="00A4462F"/>
    <w:rsid w:val="00A45A6D"/>
    <w:rsid w:val="00A6153B"/>
    <w:rsid w:val="00A71136"/>
    <w:rsid w:val="00A749D2"/>
    <w:rsid w:val="00A9136C"/>
    <w:rsid w:val="00A97FB5"/>
    <w:rsid w:val="00AA474C"/>
    <w:rsid w:val="00AA669C"/>
    <w:rsid w:val="00AB6878"/>
    <w:rsid w:val="00AD1FB1"/>
    <w:rsid w:val="00AD7E5F"/>
    <w:rsid w:val="00B01AA1"/>
    <w:rsid w:val="00B30C81"/>
    <w:rsid w:val="00B37FF8"/>
    <w:rsid w:val="00B4793B"/>
    <w:rsid w:val="00B72094"/>
    <w:rsid w:val="00B944E3"/>
    <w:rsid w:val="00BB2092"/>
    <w:rsid w:val="00BC727F"/>
    <w:rsid w:val="00BD791D"/>
    <w:rsid w:val="00BD7E80"/>
    <w:rsid w:val="00BE13C5"/>
    <w:rsid w:val="00BE3A2C"/>
    <w:rsid w:val="00BE7A7E"/>
    <w:rsid w:val="00C02D5F"/>
    <w:rsid w:val="00C06091"/>
    <w:rsid w:val="00C12B7E"/>
    <w:rsid w:val="00C15633"/>
    <w:rsid w:val="00C15799"/>
    <w:rsid w:val="00C316C8"/>
    <w:rsid w:val="00C32691"/>
    <w:rsid w:val="00C357AD"/>
    <w:rsid w:val="00C3598A"/>
    <w:rsid w:val="00C57543"/>
    <w:rsid w:val="00C6069C"/>
    <w:rsid w:val="00C64EBE"/>
    <w:rsid w:val="00CA3D2F"/>
    <w:rsid w:val="00CA4C69"/>
    <w:rsid w:val="00CD1E58"/>
    <w:rsid w:val="00CD3F5D"/>
    <w:rsid w:val="00CD5431"/>
    <w:rsid w:val="00CD6FC3"/>
    <w:rsid w:val="00CD7AAF"/>
    <w:rsid w:val="00CE1894"/>
    <w:rsid w:val="00CF2491"/>
    <w:rsid w:val="00D06238"/>
    <w:rsid w:val="00D065B9"/>
    <w:rsid w:val="00D1252E"/>
    <w:rsid w:val="00D16CD9"/>
    <w:rsid w:val="00D45493"/>
    <w:rsid w:val="00D57772"/>
    <w:rsid w:val="00D73FAE"/>
    <w:rsid w:val="00D75A4D"/>
    <w:rsid w:val="00D8478B"/>
    <w:rsid w:val="00D84BDD"/>
    <w:rsid w:val="00D86151"/>
    <w:rsid w:val="00D9166C"/>
    <w:rsid w:val="00D95002"/>
    <w:rsid w:val="00DA00A4"/>
    <w:rsid w:val="00DA7595"/>
    <w:rsid w:val="00DB0A68"/>
    <w:rsid w:val="00DB648C"/>
    <w:rsid w:val="00DC43A3"/>
    <w:rsid w:val="00DD15A1"/>
    <w:rsid w:val="00DD20FE"/>
    <w:rsid w:val="00DD7C09"/>
    <w:rsid w:val="00DE338E"/>
    <w:rsid w:val="00DE4506"/>
    <w:rsid w:val="00E00C4B"/>
    <w:rsid w:val="00E0124F"/>
    <w:rsid w:val="00E0516D"/>
    <w:rsid w:val="00E05ED8"/>
    <w:rsid w:val="00E21F50"/>
    <w:rsid w:val="00E46949"/>
    <w:rsid w:val="00E508CB"/>
    <w:rsid w:val="00E674D3"/>
    <w:rsid w:val="00E70FD0"/>
    <w:rsid w:val="00E82ED0"/>
    <w:rsid w:val="00E8791E"/>
    <w:rsid w:val="00EA11B0"/>
    <w:rsid w:val="00EB338A"/>
    <w:rsid w:val="00EB61CE"/>
    <w:rsid w:val="00F0480B"/>
    <w:rsid w:val="00F22A19"/>
    <w:rsid w:val="00F65FB4"/>
    <w:rsid w:val="00F84067"/>
    <w:rsid w:val="00F91340"/>
    <w:rsid w:val="00FC0D26"/>
    <w:rsid w:val="00FD08EB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0A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A2A5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Proposal">
    <w:name w:val="Proposal"/>
    <w:basedOn w:val="a"/>
    <w:next w:val="a"/>
    <w:rsid w:val="000A2A5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ＭＳ 明朝" w:hAnsi="Times New Roman Bold"/>
      <w:szCs w:val="20"/>
      <w:lang w:val="en-GB"/>
    </w:rPr>
  </w:style>
  <w:style w:type="paragraph" w:customStyle="1" w:styleId="Reasons">
    <w:name w:val="Reasons"/>
    <w:basedOn w:val="a"/>
    <w:rsid w:val="000A2A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Cs w:val="20"/>
      <w:lang w:val="en-GB"/>
    </w:rPr>
  </w:style>
  <w:style w:type="paragraph" w:customStyle="1" w:styleId="ResNo">
    <w:name w:val="Res_No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ＭＳ 明朝"/>
      <w:caps/>
      <w:sz w:val="28"/>
      <w:szCs w:val="20"/>
      <w:lang w:val="en-GB"/>
    </w:rPr>
  </w:style>
  <w:style w:type="paragraph" w:customStyle="1" w:styleId="Restitle">
    <w:name w:val="Res_title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ＭＳ 明朝" w:hAnsi="Times New Roman Bold"/>
      <w:b/>
      <w:sz w:val="28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62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624468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0A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A2A5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Proposal">
    <w:name w:val="Proposal"/>
    <w:basedOn w:val="a"/>
    <w:next w:val="a"/>
    <w:rsid w:val="000A2A5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ＭＳ 明朝" w:hAnsi="Times New Roman Bold"/>
      <w:szCs w:val="20"/>
      <w:lang w:val="en-GB"/>
    </w:rPr>
  </w:style>
  <w:style w:type="paragraph" w:customStyle="1" w:styleId="Reasons">
    <w:name w:val="Reasons"/>
    <w:basedOn w:val="a"/>
    <w:rsid w:val="000A2A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Cs w:val="20"/>
      <w:lang w:val="en-GB"/>
    </w:rPr>
  </w:style>
  <w:style w:type="paragraph" w:customStyle="1" w:styleId="ResNo">
    <w:name w:val="Res_No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ＭＳ 明朝"/>
      <w:caps/>
      <w:sz w:val="28"/>
      <w:szCs w:val="20"/>
      <w:lang w:val="en-GB"/>
    </w:rPr>
  </w:style>
  <w:style w:type="paragraph" w:customStyle="1" w:styleId="Restitle">
    <w:name w:val="Res_title"/>
    <w:basedOn w:val="a"/>
    <w:next w:val="a"/>
    <w:rsid w:val="000A2A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ＭＳ 明朝" w:hAnsi="Times New Roman Bold"/>
      <w:b/>
      <w:sz w:val="28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62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624468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CC9D-E931-41BB-B0D0-5C48FD12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nttdenpa</cp:lastModifiedBy>
  <cp:revision>2</cp:revision>
  <cp:lastPrinted>2004-07-28T02:14:00Z</cp:lastPrinted>
  <dcterms:created xsi:type="dcterms:W3CDTF">2012-02-08T23:12:00Z</dcterms:created>
  <dcterms:modified xsi:type="dcterms:W3CDTF">2012-02-08T23:12:00Z</dcterms:modified>
</cp:coreProperties>
</file>