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19" w:type="dxa"/>
        <w:tblBorders>
          <w:bottom w:val="single" w:sz="4" w:space="0" w:color="auto"/>
        </w:tblBorders>
        <w:tblLayout w:type="fixed"/>
        <w:tblCellMar>
          <w:left w:w="99" w:type="dxa"/>
          <w:right w:w="99" w:type="dxa"/>
        </w:tblCellMar>
        <w:tblLook w:val="0000"/>
      </w:tblPr>
      <w:tblGrid>
        <w:gridCol w:w="1399"/>
        <w:gridCol w:w="4530"/>
        <w:gridCol w:w="1250"/>
        <w:gridCol w:w="411"/>
        <w:gridCol w:w="2229"/>
      </w:tblGrid>
      <w:tr w:rsidR="00DA7595" w:rsidRPr="00891D0B">
        <w:trPr>
          <w:cantSplit/>
        </w:trPr>
        <w:tc>
          <w:tcPr>
            <w:tcW w:w="1399" w:type="dxa"/>
            <w:vMerge w:val="restart"/>
            <w:tcBorders>
              <w:top w:val="nil"/>
              <w:left w:val="nil"/>
              <w:bottom w:val="nil"/>
              <w:right w:val="nil"/>
            </w:tcBorders>
          </w:tcPr>
          <w:p w:rsidR="00DA7595" w:rsidRPr="00891D0B" w:rsidRDefault="006A3691" w:rsidP="0045458F">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zh-CN"/>
              </w:rPr>
              <w:drawing>
                <wp:inline distT="0" distB="0" distL="0" distR="0">
                  <wp:extent cx="841375" cy="6877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1375" cy="687705"/>
                          </a:xfrm>
                          <a:prstGeom prst="rect">
                            <a:avLst/>
                          </a:prstGeom>
                          <a:noFill/>
                          <a:ln>
                            <a:noFill/>
                          </a:ln>
                        </pic:spPr>
                      </pic:pic>
                    </a:graphicData>
                  </a:graphic>
                </wp:inline>
              </w:drawing>
            </w:r>
          </w:p>
        </w:tc>
        <w:tc>
          <w:tcPr>
            <w:tcW w:w="4530" w:type="dxa"/>
            <w:tcBorders>
              <w:top w:val="nil"/>
              <w:left w:val="nil"/>
              <w:bottom w:val="nil"/>
              <w:right w:val="nil"/>
            </w:tcBorders>
          </w:tcPr>
          <w:p w:rsidR="00DA7595" w:rsidRPr="00891D0B" w:rsidRDefault="00DA7595" w:rsidP="0045458F">
            <w:pPr>
              <w:rPr>
                <w:sz w:val="22"/>
                <w:szCs w:val="22"/>
              </w:rPr>
            </w:pPr>
            <w:r w:rsidRPr="00891D0B">
              <w:rPr>
                <w:sz w:val="22"/>
                <w:szCs w:val="22"/>
              </w:rPr>
              <w:t>ASIA-PACIFIC TELECOMMUNITY</w:t>
            </w:r>
          </w:p>
        </w:tc>
        <w:tc>
          <w:tcPr>
            <w:tcW w:w="1661" w:type="dxa"/>
            <w:gridSpan w:val="2"/>
            <w:tcBorders>
              <w:top w:val="nil"/>
              <w:left w:val="nil"/>
              <w:bottom w:val="nil"/>
              <w:right w:val="nil"/>
            </w:tcBorders>
          </w:tcPr>
          <w:p w:rsidR="00DA7595" w:rsidRPr="00891D0B" w:rsidRDefault="00DA7595" w:rsidP="0045458F"/>
        </w:tc>
        <w:tc>
          <w:tcPr>
            <w:tcW w:w="2229" w:type="dxa"/>
            <w:tcBorders>
              <w:top w:val="nil"/>
              <w:left w:val="nil"/>
              <w:bottom w:val="nil"/>
            </w:tcBorders>
          </w:tcPr>
          <w:p w:rsidR="00DA7595" w:rsidRPr="00891D0B" w:rsidRDefault="00DA7595" w:rsidP="0045458F">
            <w:pPr>
              <w:pStyle w:val="8"/>
              <w:rPr>
                <w:sz w:val="24"/>
                <w:szCs w:val="24"/>
              </w:rPr>
            </w:pPr>
          </w:p>
        </w:tc>
      </w:tr>
      <w:tr w:rsidR="00DA7595" w:rsidRPr="00C15799">
        <w:trPr>
          <w:cantSplit/>
        </w:trPr>
        <w:tc>
          <w:tcPr>
            <w:tcW w:w="1399" w:type="dxa"/>
            <w:vMerge/>
            <w:tcBorders>
              <w:top w:val="nil"/>
              <w:left w:val="nil"/>
              <w:bottom w:val="nil"/>
              <w:right w:val="nil"/>
            </w:tcBorders>
          </w:tcPr>
          <w:p w:rsidR="00DA7595" w:rsidRPr="00891D0B" w:rsidRDefault="00DA7595" w:rsidP="0045458F"/>
        </w:tc>
        <w:tc>
          <w:tcPr>
            <w:tcW w:w="5780" w:type="dxa"/>
            <w:gridSpan w:val="2"/>
            <w:tcBorders>
              <w:top w:val="nil"/>
              <w:left w:val="nil"/>
              <w:bottom w:val="nil"/>
              <w:right w:val="nil"/>
            </w:tcBorders>
          </w:tcPr>
          <w:p w:rsidR="00DA7595" w:rsidRPr="00891D0B" w:rsidRDefault="00DB0A68" w:rsidP="007E4AD4">
            <w:pPr>
              <w:spacing w:line="0" w:lineRule="atLeast"/>
            </w:pPr>
            <w:r>
              <w:rPr>
                <w:b/>
              </w:rPr>
              <w:t xml:space="preserve">APT </w:t>
            </w:r>
            <w:r w:rsidR="007E4AD4">
              <w:rPr>
                <w:b/>
              </w:rPr>
              <w:t>Coordination Meetings During RA-12 and WRC-12</w:t>
            </w:r>
          </w:p>
        </w:tc>
        <w:tc>
          <w:tcPr>
            <w:tcW w:w="2640" w:type="dxa"/>
            <w:gridSpan w:val="2"/>
            <w:tcBorders>
              <w:top w:val="nil"/>
              <w:left w:val="nil"/>
              <w:bottom w:val="nil"/>
              <w:right w:val="nil"/>
            </w:tcBorders>
          </w:tcPr>
          <w:p w:rsidR="00DA7595" w:rsidRPr="00C15799" w:rsidRDefault="00DA7595" w:rsidP="00CD7AAF">
            <w:pPr>
              <w:rPr>
                <w:b/>
                <w:bCs/>
                <w:lang w:val="fr-FR"/>
              </w:rPr>
            </w:pPr>
          </w:p>
        </w:tc>
      </w:tr>
      <w:tr w:rsidR="004B3553" w:rsidRPr="00891D0B">
        <w:trPr>
          <w:cantSplit/>
          <w:trHeight w:val="219"/>
        </w:trPr>
        <w:tc>
          <w:tcPr>
            <w:tcW w:w="1399" w:type="dxa"/>
            <w:vMerge/>
            <w:tcBorders>
              <w:top w:val="nil"/>
              <w:left w:val="nil"/>
              <w:bottom w:val="single" w:sz="12" w:space="0" w:color="auto"/>
              <w:right w:val="nil"/>
            </w:tcBorders>
          </w:tcPr>
          <w:p w:rsidR="004B3553" w:rsidRPr="00C15799" w:rsidRDefault="004B3553" w:rsidP="0045458F">
            <w:pPr>
              <w:rPr>
                <w:lang w:val="fr-FR"/>
              </w:rPr>
            </w:pPr>
          </w:p>
        </w:tc>
        <w:tc>
          <w:tcPr>
            <w:tcW w:w="5780" w:type="dxa"/>
            <w:gridSpan w:val="2"/>
            <w:tcBorders>
              <w:top w:val="nil"/>
              <w:left w:val="nil"/>
              <w:bottom w:val="single" w:sz="12" w:space="0" w:color="auto"/>
              <w:right w:val="nil"/>
            </w:tcBorders>
          </w:tcPr>
          <w:p w:rsidR="004B3553" w:rsidRPr="00891D0B" w:rsidRDefault="004B3553" w:rsidP="00860180"/>
        </w:tc>
        <w:tc>
          <w:tcPr>
            <w:tcW w:w="2640" w:type="dxa"/>
            <w:gridSpan w:val="2"/>
            <w:tcBorders>
              <w:top w:val="nil"/>
              <w:left w:val="nil"/>
              <w:bottom w:val="single" w:sz="12" w:space="0" w:color="auto"/>
              <w:right w:val="nil"/>
            </w:tcBorders>
          </w:tcPr>
          <w:p w:rsidR="004B3553" w:rsidRPr="00712451" w:rsidRDefault="004B3553" w:rsidP="007E4AD4">
            <w:pPr>
              <w:rPr>
                <w:b/>
              </w:rPr>
            </w:pPr>
          </w:p>
        </w:tc>
      </w:tr>
    </w:tbl>
    <w:p w:rsidR="00DA7595" w:rsidRDefault="00DA7595" w:rsidP="00DA7595">
      <w:pPr>
        <w:jc w:val="center"/>
        <w:rPr>
          <w:b/>
          <w:sz w:val="28"/>
          <w:szCs w:val="28"/>
          <w:lang w:eastAsia="ko-KR"/>
        </w:rPr>
      </w:pPr>
    </w:p>
    <w:p w:rsidR="00CD7AAF" w:rsidRPr="000C1AE6" w:rsidRDefault="00A749D2" w:rsidP="00A749D2">
      <w:pPr>
        <w:rPr>
          <w:rFonts w:eastAsiaTheme="minorEastAsia"/>
          <w:snapToGrid w:val="0"/>
          <w:lang w:eastAsia="zh-CN"/>
        </w:rPr>
      </w:pPr>
      <w:r>
        <w:rPr>
          <w:snapToGrid w:val="0"/>
        </w:rPr>
        <w:t>Date:</w:t>
      </w:r>
      <w:r w:rsidR="000C1AE6">
        <w:rPr>
          <w:rFonts w:eastAsiaTheme="minorEastAsia" w:hint="eastAsia"/>
          <w:snapToGrid w:val="0"/>
          <w:lang w:eastAsia="zh-CN"/>
        </w:rPr>
        <w:t xml:space="preserve"> </w:t>
      </w:r>
      <w:r w:rsidR="007B7566">
        <w:rPr>
          <w:rFonts w:eastAsiaTheme="minorEastAsia" w:hint="eastAsia"/>
          <w:snapToGrid w:val="0"/>
          <w:lang w:eastAsia="zh-CN"/>
        </w:rPr>
        <w:t>Feb. 9</w:t>
      </w:r>
      <w:r w:rsidR="000C1AE6">
        <w:rPr>
          <w:rFonts w:eastAsiaTheme="minorEastAsia" w:hint="eastAsia"/>
          <w:snapToGrid w:val="0"/>
          <w:lang w:eastAsia="zh-CN"/>
        </w:rPr>
        <w:t>, 2012</w:t>
      </w:r>
    </w:p>
    <w:p w:rsidR="00A749D2" w:rsidRDefault="00A749D2" w:rsidP="00A749D2">
      <w:pPr>
        <w:rPr>
          <w:snapToGrid w:val="0"/>
        </w:rPr>
      </w:pPr>
      <w:bookmarkStart w:id="0" w:name="_GoBack"/>
      <w:bookmarkEnd w:id="0"/>
    </w:p>
    <w:p w:rsidR="00A749D2" w:rsidRDefault="00A749D2" w:rsidP="00A749D2">
      <w:pPr>
        <w:jc w:val="center"/>
        <w:rPr>
          <w:b/>
          <w:bCs/>
          <w:sz w:val="28"/>
        </w:rPr>
      </w:pPr>
      <w:r>
        <w:rPr>
          <w:b/>
          <w:bCs/>
          <w:sz w:val="28"/>
        </w:rPr>
        <w:t>REPORT OF THE WRC-12 AGENDA ITEM COORDINATOR</w:t>
      </w:r>
    </w:p>
    <w:p w:rsidR="00A749D2" w:rsidRDefault="00A749D2" w:rsidP="00A749D2">
      <w:pPr>
        <w:jc w:val="center"/>
        <w:rPr>
          <w:b/>
          <w:bCs/>
          <w:sz w:val="28"/>
        </w:rPr>
      </w:pPr>
    </w:p>
    <w:tbl>
      <w:tblPr>
        <w:tblStyle w:val="a9"/>
        <w:tblW w:w="0" w:type="auto"/>
        <w:tblLook w:val="04A0"/>
      </w:tblPr>
      <w:tblGrid>
        <w:gridCol w:w="9242"/>
      </w:tblGrid>
      <w:tr w:rsidR="00A749D2" w:rsidTr="00BA0398">
        <w:tc>
          <w:tcPr>
            <w:tcW w:w="9242" w:type="dxa"/>
          </w:tcPr>
          <w:p w:rsidR="00A749D2" w:rsidRPr="00AE27E9" w:rsidRDefault="00A749D2" w:rsidP="00BA0398">
            <w:r w:rsidRPr="00AE27E9">
              <w:rPr>
                <w:b/>
                <w:bCs/>
              </w:rPr>
              <w:t>Agenda Item</w:t>
            </w:r>
            <w:r>
              <w:rPr>
                <w:b/>
                <w:bCs/>
              </w:rPr>
              <w:t xml:space="preserve"> No.</w:t>
            </w:r>
            <w:r w:rsidRPr="00AE27E9">
              <w:t>:</w:t>
            </w:r>
          </w:p>
          <w:p w:rsidR="00A749D2" w:rsidRDefault="00A749D2" w:rsidP="00BA0398">
            <w:pPr>
              <w:rPr>
                <w:b/>
                <w:bCs/>
                <w:sz w:val="28"/>
              </w:rPr>
            </w:pPr>
          </w:p>
        </w:tc>
      </w:tr>
      <w:tr w:rsidR="00A749D2" w:rsidTr="00BA0398">
        <w:tc>
          <w:tcPr>
            <w:tcW w:w="9242" w:type="dxa"/>
          </w:tcPr>
          <w:p w:rsidR="00A749D2" w:rsidRPr="00DB3E34" w:rsidRDefault="00A749D2" w:rsidP="00BA0398">
            <w:pPr>
              <w:rPr>
                <w:rFonts w:eastAsiaTheme="minorEastAsia"/>
                <w:lang w:eastAsia="zh-CN"/>
              </w:rPr>
            </w:pPr>
            <w:r w:rsidRPr="00AE27E9">
              <w:rPr>
                <w:b/>
                <w:bCs/>
              </w:rPr>
              <w:t>Name of the Coordinator</w:t>
            </w:r>
            <w:r>
              <w:rPr>
                <w:b/>
                <w:bCs/>
              </w:rPr>
              <w:t xml:space="preserve"> ( with Email)</w:t>
            </w:r>
            <w:r>
              <w:t>:</w:t>
            </w:r>
            <w:r w:rsidR="00DB3E34">
              <w:rPr>
                <w:rFonts w:eastAsiaTheme="minorEastAsia" w:hint="eastAsia"/>
                <w:lang w:eastAsia="zh-CN"/>
              </w:rPr>
              <w:t xml:space="preserve"> GAO Xiaoyang (gaoxiaoyang@chinasatcom.com)</w:t>
            </w:r>
          </w:p>
          <w:p w:rsidR="00A749D2" w:rsidRPr="00AE27E9" w:rsidRDefault="00A749D2" w:rsidP="00BA0398"/>
        </w:tc>
      </w:tr>
      <w:tr w:rsidR="00A749D2" w:rsidTr="00BA0398">
        <w:tc>
          <w:tcPr>
            <w:tcW w:w="9242" w:type="dxa"/>
          </w:tcPr>
          <w:p w:rsidR="00A749D2" w:rsidRPr="00DB3E34" w:rsidRDefault="00A749D2" w:rsidP="00BA0398">
            <w:pPr>
              <w:rPr>
                <w:rFonts w:eastAsiaTheme="minorEastAsia"/>
                <w:b/>
                <w:bCs/>
                <w:lang w:eastAsia="zh-CN"/>
              </w:rPr>
            </w:pPr>
            <w:r w:rsidRPr="00AE27E9">
              <w:rPr>
                <w:b/>
                <w:bCs/>
              </w:rPr>
              <w:t>Issues:</w:t>
            </w:r>
          </w:p>
          <w:p w:rsidR="00A749D2" w:rsidRPr="00DB3E34" w:rsidRDefault="00DB3E34" w:rsidP="00DB3E34">
            <w:pPr>
              <w:rPr>
                <w:rFonts w:eastAsiaTheme="minorEastAsia"/>
                <w:b/>
                <w:color w:val="000000"/>
                <w:lang w:eastAsia="zh-CN"/>
              </w:rPr>
            </w:pPr>
            <w:r w:rsidRPr="00D96D32">
              <w:rPr>
                <w:color w:val="000000"/>
              </w:rPr>
              <w:t>7</w:t>
            </w:r>
            <w:r w:rsidRPr="00D96D32">
              <w:rPr>
                <w:color w:val="000000"/>
              </w:rPr>
              <w:tab/>
              <w:t xml:space="preserve">to consider possible changes in response to Resolution </w:t>
            </w:r>
            <w:r w:rsidRPr="00D96D32">
              <w:rPr>
                <w:bCs/>
                <w:color w:val="000000"/>
              </w:rPr>
              <w:t xml:space="preserve">86 (Rev. Marrakesh, 2002) of the Plenipotentiary Conference: </w:t>
            </w:r>
            <w:r w:rsidRPr="00D96D32">
              <w:rPr>
                <w:color w:val="000000"/>
              </w:rPr>
              <w:t>“Advance publication, coordination, notification and recording procedures for frequency assignments pertaining to satellite networks”,</w:t>
            </w:r>
            <w:r w:rsidRPr="00D96D32">
              <w:rPr>
                <w:color w:val="000000"/>
                <w:lang w:eastAsia="ja-JP"/>
              </w:rPr>
              <w:t xml:space="preserve"> in accordance with </w:t>
            </w:r>
            <w:r w:rsidRPr="00D96D32">
              <w:rPr>
                <w:snapToGrid w:val="0"/>
                <w:color w:val="000000"/>
              </w:rPr>
              <w:t>Resolution </w:t>
            </w:r>
            <w:r w:rsidRPr="00D96D32">
              <w:rPr>
                <w:b/>
                <w:color w:val="000000"/>
              </w:rPr>
              <w:t>86</w:t>
            </w:r>
            <w:r w:rsidRPr="00D96D32">
              <w:rPr>
                <w:b/>
                <w:color w:val="000000"/>
                <w:lang w:eastAsia="ja-JP"/>
              </w:rPr>
              <w:t>(Rev.WRC</w:t>
            </w:r>
            <w:r w:rsidRPr="00D96D32">
              <w:rPr>
                <w:b/>
                <w:color w:val="000000"/>
                <w:lang w:eastAsia="ja-JP"/>
              </w:rPr>
              <w:noBreakHyphen/>
              <w:t>07)</w:t>
            </w:r>
            <w:r w:rsidRPr="00D96D32">
              <w:rPr>
                <w:bCs/>
                <w:color w:val="000000"/>
              </w:rPr>
              <w:t>;</w:t>
            </w:r>
          </w:p>
        </w:tc>
      </w:tr>
      <w:tr w:rsidR="00A749D2" w:rsidTr="00BA0398">
        <w:tc>
          <w:tcPr>
            <w:tcW w:w="9242" w:type="dxa"/>
          </w:tcPr>
          <w:p w:rsidR="00A749D2" w:rsidRPr="00086912" w:rsidRDefault="00A749D2" w:rsidP="00BA0398">
            <w:pPr>
              <w:rPr>
                <w:rFonts w:eastAsiaTheme="minorEastAsia"/>
                <w:lang w:eastAsia="zh-CN"/>
              </w:rPr>
            </w:pPr>
            <w:r>
              <w:rPr>
                <w:b/>
                <w:bCs/>
              </w:rPr>
              <w:t>APT Proposals</w:t>
            </w:r>
            <w:r>
              <w:t>:</w:t>
            </w:r>
          </w:p>
          <w:p w:rsidR="007F766C" w:rsidRDefault="007F766C" w:rsidP="007312F3">
            <w:pPr>
              <w:spacing w:beforeLines="50"/>
              <w:rPr>
                <w:rFonts w:eastAsiaTheme="minorEastAsia"/>
                <w:lang w:eastAsia="zh-CN"/>
              </w:rPr>
            </w:pPr>
            <w:r>
              <w:rPr>
                <w:rFonts w:eastAsiaTheme="minorEastAsia" w:hint="eastAsia"/>
                <w:lang w:eastAsia="zh-CN"/>
              </w:rPr>
              <w:t xml:space="preserve">Under the AI7, there are APT Common Proposals on the issues </w:t>
            </w:r>
            <w:r w:rsidR="003036A0">
              <w:rPr>
                <w:rFonts w:eastAsiaTheme="minorEastAsia" w:hint="eastAsia"/>
                <w:lang w:eastAsia="zh-CN"/>
              </w:rPr>
              <w:t xml:space="preserve">4C and 4D. No Common Proposals were agreed on the Issues 2B, 2C and 4B, </w:t>
            </w:r>
            <w:r>
              <w:rPr>
                <w:rFonts w:eastAsiaTheme="minorEastAsia" w:hint="eastAsia"/>
                <w:lang w:eastAsia="zh-CN"/>
              </w:rPr>
              <w:t xml:space="preserve">noting the Common Proposal on the issue </w:t>
            </w:r>
            <w:r w:rsidR="003036A0">
              <w:rPr>
                <w:rFonts w:eastAsiaTheme="minorEastAsia" w:hint="eastAsia"/>
                <w:lang w:eastAsia="zh-CN"/>
              </w:rPr>
              <w:t>2</w:t>
            </w:r>
            <w:r>
              <w:rPr>
                <w:rFonts w:eastAsiaTheme="minorEastAsia" w:hint="eastAsia"/>
                <w:lang w:eastAsia="zh-CN"/>
              </w:rPr>
              <w:t>A is the potential which is pending the formal update on the Recommendation ITU-R S.1524 before the Conference.</w:t>
            </w:r>
            <w:r w:rsidR="003036A0">
              <w:rPr>
                <w:rFonts w:eastAsiaTheme="minorEastAsia" w:hint="eastAsia"/>
                <w:lang w:eastAsia="zh-CN"/>
              </w:rPr>
              <w:t xml:space="preserve"> So no common Proposal for the Issue 2A in this regard.</w:t>
            </w:r>
          </w:p>
          <w:p w:rsidR="007F766C" w:rsidRDefault="007F766C" w:rsidP="007312F3">
            <w:pPr>
              <w:spacing w:beforeLines="50"/>
              <w:rPr>
                <w:rFonts w:eastAsiaTheme="minorEastAsia"/>
                <w:lang w:eastAsia="zh-CN"/>
              </w:rPr>
            </w:pPr>
            <w:r>
              <w:rPr>
                <w:rFonts w:eastAsiaTheme="minorEastAsia" w:hint="eastAsia"/>
                <w:lang w:eastAsia="zh-CN"/>
              </w:rPr>
              <w:t xml:space="preserve">For the detail, please read the </w:t>
            </w:r>
            <w:r>
              <w:rPr>
                <w:rFonts w:eastAsiaTheme="minorEastAsia"/>
                <w:lang w:eastAsia="zh-CN"/>
              </w:rPr>
              <w:t>Addendum 28 to</w:t>
            </w:r>
            <w:r>
              <w:rPr>
                <w:rFonts w:eastAsiaTheme="minorEastAsia" w:hint="eastAsia"/>
                <w:lang w:eastAsia="zh-CN"/>
              </w:rPr>
              <w:t xml:space="preserve"> the </w:t>
            </w:r>
            <w:r w:rsidRPr="000C1AE6">
              <w:rPr>
                <w:rFonts w:eastAsiaTheme="minorEastAsia"/>
                <w:lang w:eastAsia="zh-CN"/>
              </w:rPr>
              <w:t>Document 26-E</w:t>
            </w:r>
          </w:p>
          <w:p w:rsidR="00A749D2" w:rsidRPr="00AE27E9" w:rsidRDefault="00A749D2" w:rsidP="00BA0398"/>
        </w:tc>
      </w:tr>
      <w:tr w:rsidR="00A749D2" w:rsidTr="00BA0398">
        <w:tc>
          <w:tcPr>
            <w:tcW w:w="9242" w:type="dxa"/>
          </w:tcPr>
          <w:p w:rsidR="00A749D2" w:rsidRDefault="00A749D2" w:rsidP="00BA0398">
            <w:pPr>
              <w:rPr>
                <w:rFonts w:eastAsiaTheme="minorEastAsia"/>
                <w:b/>
                <w:bCs/>
                <w:lang w:eastAsia="zh-CN"/>
              </w:rPr>
            </w:pPr>
            <w:r>
              <w:rPr>
                <w:b/>
                <w:bCs/>
              </w:rPr>
              <w:t>Status of the APT Proposals:</w:t>
            </w:r>
          </w:p>
          <w:p w:rsidR="003036A0" w:rsidRPr="00C21CCE" w:rsidRDefault="003036A0" w:rsidP="003036A0">
            <w:pPr>
              <w:pStyle w:val="a8"/>
              <w:numPr>
                <w:ilvl w:val="0"/>
                <w:numId w:val="30"/>
              </w:numPr>
              <w:spacing w:before="50"/>
              <w:rPr>
                <w:rFonts w:eastAsiaTheme="minorEastAsia" w:hint="eastAsia"/>
                <w:lang w:eastAsia="zh-CN"/>
              </w:rPr>
            </w:pPr>
            <w:r w:rsidRPr="003036A0">
              <w:rPr>
                <w:rFonts w:eastAsiaTheme="minorEastAsia" w:hint="eastAsia"/>
                <w:bCs/>
                <w:lang w:eastAsia="zh-CN"/>
              </w:rPr>
              <w:t xml:space="preserve">There is no agreement reached </w:t>
            </w:r>
            <w:r>
              <w:rPr>
                <w:rFonts w:eastAsiaTheme="minorEastAsia" w:hint="eastAsia"/>
                <w:bCs/>
                <w:lang w:eastAsia="zh-CN"/>
              </w:rPr>
              <w:t xml:space="preserve">so far </w:t>
            </w:r>
            <w:r w:rsidRPr="003036A0">
              <w:rPr>
                <w:rFonts w:eastAsiaTheme="minorEastAsia" w:hint="eastAsia"/>
                <w:bCs/>
                <w:lang w:eastAsia="zh-CN"/>
              </w:rPr>
              <w:t>for the Issues 2A, 2B, 2C, 4B, 4C and 4D. These Issues are also the difficult</w:t>
            </w:r>
            <w:r>
              <w:rPr>
                <w:rFonts w:eastAsiaTheme="minorEastAsia" w:hint="eastAsia"/>
                <w:bCs/>
                <w:lang w:eastAsia="zh-CN"/>
              </w:rPr>
              <w:t xml:space="preserve"> ones in this Conference. </w:t>
            </w:r>
            <w:r>
              <w:rPr>
                <w:rFonts w:eastAsiaTheme="minorEastAsia"/>
                <w:bCs/>
                <w:lang w:eastAsia="zh-CN"/>
              </w:rPr>
              <w:t>T</w:t>
            </w:r>
            <w:r>
              <w:rPr>
                <w:rFonts w:eastAsiaTheme="minorEastAsia" w:hint="eastAsia"/>
                <w:bCs/>
                <w:lang w:eastAsia="zh-CN"/>
              </w:rPr>
              <w:t>he SWG Chairman planned to complete the SWG work today, so invite all the relevant APT colleagues take part in the discussions in the relevant meetings</w:t>
            </w:r>
            <w:r w:rsidR="00C21CCE">
              <w:rPr>
                <w:rFonts w:eastAsiaTheme="minorEastAsia" w:hint="eastAsia"/>
                <w:bCs/>
                <w:lang w:eastAsia="zh-CN"/>
              </w:rPr>
              <w:t xml:space="preserve"> and express their views</w:t>
            </w:r>
            <w:r>
              <w:rPr>
                <w:rFonts w:eastAsiaTheme="minorEastAsia" w:hint="eastAsia"/>
                <w:bCs/>
                <w:lang w:eastAsia="zh-CN"/>
              </w:rPr>
              <w:t>.</w:t>
            </w:r>
          </w:p>
          <w:p w:rsidR="00C21CCE" w:rsidRPr="003036A0" w:rsidRDefault="00C21CCE" w:rsidP="00C21CCE">
            <w:pPr>
              <w:pStyle w:val="a8"/>
              <w:spacing w:before="50"/>
              <w:ind w:left="360"/>
              <w:rPr>
                <w:rFonts w:eastAsiaTheme="minorEastAsia" w:hint="eastAsia"/>
                <w:lang w:eastAsia="zh-CN"/>
              </w:rPr>
            </w:pPr>
          </w:p>
          <w:p w:rsidR="00C21CCE" w:rsidRPr="00C21CCE" w:rsidRDefault="003036A0" w:rsidP="00C21CCE">
            <w:pPr>
              <w:pStyle w:val="a8"/>
              <w:numPr>
                <w:ilvl w:val="0"/>
                <w:numId w:val="30"/>
              </w:numPr>
              <w:spacing w:before="50"/>
              <w:rPr>
                <w:rFonts w:eastAsiaTheme="minorEastAsia" w:hint="eastAsia"/>
                <w:lang w:eastAsia="zh-CN"/>
              </w:rPr>
            </w:pPr>
            <w:r>
              <w:rPr>
                <w:rFonts w:eastAsiaTheme="minorEastAsia"/>
                <w:bCs/>
                <w:lang w:eastAsia="zh-CN"/>
              </w:rPr>
              <w:t>T</w:t>
            </w:r>
            <w:r>
              <w:rPr>
                <w:rFonts w:eastAsiaTheme="minorEastAsia" w:hint="eastAsia"/>
                <w:bCs/>
                <w:lang w:eastAsia="zh-CN"/>
              </w:rPr>
              <w:t xml:space="preserve">here is proposal from CEPT and is supported by USA on the extension of the current mandatory maximum 0.1 degree orbital tolerance. </w:t>
            </w:r>
          </w:p>
          <w:p w:rsidR="00DE0F1B" w:rsidRPr="00DE0F1B" w:rsidRDefault="003036A0" w:rsidP="00C21CCE">
            <w:pPr>
              <w:pStyle w:val="a8"/>
              <w:spacing w:before="50"/>
              <w:ind w:left="360"/>
              <w:rPr>
                <w:rFonts w:eastAsiaTheme="minorEastAsia" w:hint="eastAsia"/>
                <w:lang w:eastAsia="zh-CN"/>
              </w:rPr>
            </w:pPr>
            <w:r>
              <w:rPr>
                <w:rFonts w:eastAsiaTheme="minorEastAsia" w:hint="eastAsia"/>
                <w:bCs/>
                <w:lang w:eastAsia="zh-CN"/>
              </w:rPr>
              <w:t xml:space="preserve">Some APT members </w:t>
            </w:r>
            <w:r w:rsidR="00DE0F1B">
              <w:rPr>
                <w:rFonts w:eastAsiaTheme="minorEastAsia" w:hint="eastAsia"/>
                <w:bCs/>
                <w:lang w:eastAsia="zh-CN"/>
              </w:rPr>
              <w:t>is of the view that:</w:t>
            </w:r>
          </w:p>
          <w:p w:rsidR="00DE0F1B" w:rsidRDefault="00DE0F1B" w:rsidP="00DE0F1B">
            <w:pPr>
              <w:pStyle w:val="a8"/>
              <w:numPr>
                <w:ilvl w:val="0"/>
                <w:numId w:val="32"/>
              </w:numPr>
              <w:spacing w:before="50"/>
              <w:rPr>
                <w:rFonts w:eastAsiaTheme="minorEastAsia" w:hint="eastAsia"/>
                <w:bCs/>
                <w:lang w:eastAsia="zh-CN"/>
              </w:rPr>
            </w:pPr>
            <w:r>
              <w:rPr>
                <w:rFonts w:eastAsiaTheme="minorEastAsia" w:hint="eastAsia"/>
                <w:bCs/>
                <w:lang w:eastAsia="zh-CN"/>
              </w:rPr>
              <w:t>the current RR could treat this issue;</w:t>
            </w:r>
          </w:p>
          <w:p w:rsidR="00907F9F" w:rsidRPr="00C21CCE" w:rsidRDefault="00DE0F1B" w:rsidP="00DE0F1B">
            <w:pPr>
              <w:pStyle w:val="a8"/>
              <w:numPr>
                <w:ilvl w:val="0"/>
                <w:numId w:val="32"/>
              </w:numPr>
              <w:spacing w:before="50"/>
              <w:rPr>
                <w:rFonts w:eastAsiaTheme="minorEastAsia" w:hint="eastAsia"/>
                <w:lang w:eastAsia="zh-CN"/>
              </w:rPr>
            </w:pPr>
            <w:r>
              <w:rPr>
                <w:rFonts w:eastAsiaTheme="minorEastAsia" w:hint="eastAsia"/>
                <w:bCs/>
                <w:lang w:eastAsia="zh-CN"/>
              </w:rPr>
              <w:t xml:space="preserve">it is difficult for any new comer to know </w:t>
            </w:r>
            <w:r>
              <w:rPr>
                <w:rFonts w:eastAsiaTheme="minorEastAsia"/>
                <w:bCs/>
                <w:lang w:eastAsia="zh-CN"/>
              </w:rPr>
              <w:t>exactly</w:t>
            </w:r>
            <w:r>
              <w:rPr>
                <w:rFonts w:eastAsiaTheme="minorEastAsia" w:hint="eastAsia"/>
                <w:bCs/>
                <w:lang w:eastAsia="zh-CN"/>
              </w:rPr>
              <w:t xml:space="preserve"> this actual application situation, where this application will retain its application priority and shall be treated identically to its notified orbital position. So it is clearly different to the current coordination mechanism</w:t>
            </w:r>
            <w:r w:rsidR="00C21CCE">
              <w:rPr>
                <w:rFonts w:eastAsiaTheme="minorEastAsia" w:hint="eastAsia"/>
                <w:bCs/>
                <w:lang w:eastAsia="zh-CN"/>
              </w:rPr>
              <w:t xml:space="preserve">, and potential collision may not be decreased but increased; </w:t>
            </w:r>
          </w:p>
          <w:p w:rsidR="00C21CCE" w:rsidRPr="00C21CCE" w:rsidRDefault="00C21CCE" w:rsidP="00C21CCE">
            <w:pPr>
              <w:pStyle w:val="a8"/>
              <w:numPr>
                <w:ilvl w:val="0"/>
                <w:numId w:val="32"/>
              </w:numPr>
              <w:spacing w:before="50"/>
              <w:rPr>
                <w:rFonts w:eastAsiaTheme="minorEastAsia" w:hint="eastAsia"/>
                <w:lang w:eastAsia="zh-CN"/>
              </w:rPr>
            </w:pPr>
            <w:r>
              <w:rPr>
                <w:rFonts w:eastAsiaTheme="minorEastAsia" w:hint="eastAsia"/>
                <w:lang w:eastAsia="zh-CN"/>
              </w:rPr>
              <w:t>This issue could be treated on a case-by-case basis under the current RR.</w:t>
            </w:r>
          </w:p>
          <w:p w:rsidR="00C21CCE" w:rsidRDefault="00C21CCE" w:rsidP="00C21CCE">
            <w:pPr>
              <w:spacing w:before="120"/>
              <w:ind w:left="403"/>
              <w:rPr>
                <w:rFonts w:eastAsiaTheme="minorEastAsia" w:hint="eastAsia"/>
                <w:lang w:eastAsia="zh-CN"/>
              </w:rPr>
            </w:pPr>
            <w:r>
              <w:rPr>
                <w:rFonts w:eastAsiaTheme="minorEastAsia" w:hint="eastAsia"/>
                <w:lang w:eastAsia="zh-CN"/>
              </w:rPr>
              <w:t>One APT member supports the proposal.</w:t>
            </w:r>
          </w:p>
          <w:p w:rsidR="00C21CCE" w:rsidRDefault="00C21CCE" w:rsidP="00C21CCE">
            <w:pPr>
              <w:spacing w:before="120"/>
              <w:ind w:left="403"/>
              <w:rPr>
                <w:rFonts w:eastAsiaTheme="minorEastAsia" w:hint="eastAsia"/>
                <w:lang w:eastAsia="zh-CN"/>
              </w:rPr>
            </w:pPr>
            <w:r>
              <w:rPr>
                <w:rFonts w:eastAsiaTheme="minorEastAsia" w:hint="eastAsia"/>
                <w:lang w:eastAsia="zh-CN"/>
              </w:rPr>
              <w:t xml:space="preserve">Some APT member is also of the view that new resolution for a new AI for the WRC-15 is also not necessary. </w:t>
            </w:r>
          </w:p>
          <w:p w:rsidR="00C21CCE" w:rsidRPr="00C21CCE" w:rsidRDefault="00C21CCE" w:rsidP="00C21CCE">
            <w:pPr>
              <w:pStyle w:val="a8"/>
              <w:numPr>
                <w:ilvl w:val="0"/>
                <w:numId w:val="30"/>
              </w:numPr>
              <w:spacing w:before="120"/>
              <w:rPr>
                <w:rFonts w:eastAsiaTheme="minorEastAsia" w:hint="eastAsia"/>
                <w:lang w:eastAsia="zh-CN"/>
              </w:rPr>
            </w:pPr>
            <w:r>
              <w:rPr>
                <w:rFonts w:eastAsiaTheme="minorEastAsia" w:hint="eastAsia"/>
                <w:lang w:eastAsia="zh-CN"/>
              </w:rPr>
              <w:t xml:space="preserve"> Pay </w:t>
            </w:r>
            <w:r>
              <w:rPr>
                <w:rFonts w:eastAsiaTheme="minorEastAsia"/>
                <w:lang w:eastAsia="zh-CN"/>
              </w:rPr>
              <w:t>attention</w:t>
            </w:r>
            <w:r>
              <w:rPr>
                <w:rFonts w:eastAsiaTheme="minorEastAsia" w:hint="eastAsia"/>
                <w:lang w:eastAsia="zh-CN"/>
              </w:rPr>
              <w:t xml:space="preserve"> on the discussio</w:t>
            </w:r>
            <w:r w:rsidR="007B7566">
              <w:rPr>
                <w:rFonts w:eastAsiaTheme="minorEastAsia" w:hint="eastAsia"/>
                <w:lang w:eastAsia="zh-CN"/>
              </w:rPr>
              <w:t xml:space="preserve">ns on other </w:t>
            </w:r>
            <w:r>
              <w:rPr>
                <w:rFonts w:eastAsiaTheme="minorEastAsia" w:hint="eastAsia"/>
                <w:lang w:eastAsia="zh-CN"/>
              </w:rPr>
              <w:t>issues</w:t>
            </w:r>
            <w:r w:rsidR="007B7566">
              <w:rPr>
                <w:rFonts w:eastAsiaTheme="minorEastAsia" w:hint="eastAsia"/>
                <w:lang w:eastAsia="zh-CN"/>
              </w:rPr>
              <w:t xml:space="preserve">, such as the 6 month issue between API and CR/C; and CR/C and Notification where the coordination procedure shall be applied, etc. </w:t>
            </w:r>
          </w:p>
          <w:p w:rsidR="00C21CCE" w:rsidRPr="003036A0" w:rsidRDefault="00C21CCE" w:rsidP="00C21CCE">
            <w:pPr>
              <w:pStyle w:val="a8"/>
              <w:spacing w:before="50"/>
              <w:ind w:left="765"/>
              <w:rPr>
                <w:rFonts w:eastAsiaTheme="minorEastAsia"/>
                <w:lang w:eastAsia="zh-CN"/>
              </w:rPr>
            </w:pPr>
          </w:p>
        </w:tc>
      </w:tr>
      <w:tr w:rsidR="00A749D2" w:rsidTr="00BA0398">
        <w:tc>
          <w:tcPr>
            <w:tcW w:w="9242" w:type="dxa"/>
          </w:tcPr>
          <w:p w:rsidR="00D312F7" w:rsidRPr="00D312F7" w:rsidRDefault="00A749D2" w:rsidP="00BA0398">
            <w:pPr>
              <w:rPr>
                <w:rFonts w:eastAsiaTheme="minorEastAsia"/>
                <w:b/>
                <w:bCs/>
                <w:lang w:eastAsia="zh-CN"/>
              </w:rPr>
            </w:pPr>
            <w:r>
              <w:rPr>
                <w:b/>
                <w:bCs/>
              </w:rPr>
              <w:lastRenderedPageBreak/>
              <w:t>Issues to be discussed at the Coordination Meeting:</w:t>
            </w:r>
          </w:p>
          <w:p w:rsidR="00CD49AE" w:rsidRPr="007B7566" w:rsidRDefault="007B7566" w:rsidP="007B7566">
            <w:pPr>
              <w:spacing w:beforeLines="50"/>
              <w:rPr>
                <w:rFonts w:eastAsiaTheme="minorEastAsia"/>
                <w:bCs/>
                <w:lang w:eastAsia="zh-CN"/>
              </w:rPr>
            </w:pPr>
            <w:r>
              <w:rPr>
                <w:rFonts w:eastAsiaTheme="minorEastAsia" w:hint="eastAsia"/>
                <w:bCs/>
                <w:lang w:eastAsia="zh-CN"/>
              </w:rPr>
              <w:t>See the above</w:t>
            </w:r>
          </w:p>
          <w:p w:rsidR="00D312F7" w:rsidRPr="00D312F7" w:rsidRDefault="00D312F7" w:rsidP="00D312F7">
            <w:pPr>
              <w:rPr>
                <w:rFonts w:eastAsiaTheme="minorEastAsia"/>
                <w:b/>
                <w:bCs/>
                <w:lang w:eastAsia="zh-CN"/>
              </w:rPr>
            </w:pPr>
          </w:p>
        </w:tc>
      </w:tr>
      <w:tr w:rsidR="00A749D2" w:rsidTr="00BA0398">
        <w:tc>
          <w:tcPr>
            <w:tcW w:w="9242" w:type="dxa"/>
          </w:tcPr>
          <w:p w:rsidR="00A749D2" w:rsidRDefault="00A749D2" w:rsidP="00BA0398">
            <w:r w:rsidRPr="00AE27E9">
              <w:rPr>
                <w:b/>
                <w:bCs/>
              </w:rPr>
              <w:t>Comments/Remarks by the Coordinator</w:t>
            </w:r>
            <w:r>
              <w:t>:</w:t>
            </w:r>
          </w:p>
          <w:p w:rsidR="00A749D2" w:rsidRDefault="00A749D2" w:rsidP="00BA0398"/>
          <w:p w:rsidR="00A749D2" w:rsidRPr="0082296B" w:rsidRDefault="0082296B" w:rsidP="00BA0398">
            <w:pPr>
              <w:rPr>
                <w:rFonts w:eastAsiaTheme="minorEastAsia"/>
                <w:lang w:eastAsia="zh-CN"/>
              </w:rPr>
            </w:pPr>
            <w:r>
              <w:rPr>
                <w:rFonts w:eastAsiaTheme="minorEastAsia" w:hint="eastAsia"/>
                <w:lang w:eastAsia="zh-CN"/>
              </w:rPr>
              <w:t>No specific comments/remarks</w:t>
            </w:r>
          </w:p>
          <w:p w:rsidR="00A749D2" w:rsidRPr="00AE27E9" w:rsidRDefault="00A749D2" w:rsidP="00BA0398"/>
        </w:tc>
      </w:tr>
    </w:tbl>
    <w:p w:rsidR="00876DE9" w:rsidRDefault="00876DE9" w:rsidP="0092750B">
      <w:pPr>
        <w:jc w:val="both"/>
        <w:rPr>
          <w:rFonts w:eastAsiaTheme="minorEastAsia"/>
          <w:snapToGrid w:val="0"/>
          <w:lang w:eastAsia="zh-CN"/>
        </w:rPr>
      </w:pPr>
    </w:p>
    <w:p w:rsidR="00A5589C" w:rsidRPr="00CD49AE" w:rsidRDefault="00A5589C" w:rsidP="00CD49AE">
      <w:pPr>
        <w:jc w:val="both"/>
        <w:rPr>
          <w:rFonts w:eastAsiaTheme="minorEastAsia"/>
          <w:snapToGrid w:val="0"/>
          <w:lang w:eastAsia="zh-CN"/>
        </w:rPr>
      </w:pPr>
    </w:p>
    <w:sectPr w:rsidR="00A5589C" w:rsidRPr="00CD49AE" w:rsidSect="00DB0A68">
      <w:headerReference w:type="default" r:id="rId9"/>
      <w:footerReference w:type="even" r:id="rId10"/>
      <w:footerReference w:type="default" r:id="rId11"/>
      <w:footerReference w:type="first" r:id="rId12"/>
      <w:pgSz w:w="11909" w:h="16834" w:code="9"/>
      <w:pgMar w:top="1195" w:right="1152" w:bottom="1138"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23BD" w:rsidRDefault="004023BD">
      <w:r>
        <w:separator/>
      </w:r>
    </w:p>
  </w:endnote>
  <w:endnote w:type="continuationSeparator" w:id="1">
    <w:p w:rsidR="004023BD" w:rsidRDefault="004023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ulimChe">
    <w:panose1 w:val="020B0609000101010101"/>
    <w:charset w:val="81"/>
    <w:family w:val="modern"/>
    <w:pitch w:val="fixed"/>
    <w:sig w:usb0="B00002AF" w:usb1="69D77CFB" w:usb2="00000030" w:usb3="00000000" w:csb0="0008009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93B" w:rsidRDefault="0088449B" w:rsidP="002C07DA">
    <w:pPr>
      <w:pStyle w:val="a3"/>
      <w:framePr w:wrap="around" w:vAnchor="text" w:hAnchor="margin" w:xAlign="right" w:y="1"/>
      <w:rPr>
        <w:rStyle w:val="a5"/>
      </w:rPr>
    </w:pPr>
    <w:r>
      <w:rPr>
        <w:rStyle w:val="a5"/>
      </w:rPr>
      <w:fldChar w:fldCharType="begin"/>
    </w:r>
    <w:r w:rsidR="0097693B">
      <w:rPr>
        <w:rStyle w:val="a5"/>
      </w:rPr>
      <w:instrText xml:space="preserve">PAGE  </w:instrText>
    </w:r>
    <w:r>
      <w:rPr>
        <w:rStyle w:val="a5"/>
      </w:rPr>
      <w:fldChar w:fldCharType="end"/>
    </w:r>
  </w:p>
  <w:p w:rsidR="0097693B" w:rsidRDefault="0097693B" w:rsidP="00DB0A68">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93B" w:rsidRDefault="002C7EA9" w:rsidP="002C7EA9">
    <w:pPr>
      <w:pStyle w:val="a3"/>
      <w:ind w:right="360"/>
      <w:jc w:val="right"/>
    </w:pPr>
    <w:r w:rsidRPr="002C7EA9">
      <w:rPr>
        <w:rStyle w:val="a5"/>
      </w:rPr>
      <w:t xml:space="preserve">Page </w:t>
    </w:r>
    <w:r w:rsidR="0088449B" w:rsidRPr="002C7EA9">
      <w:rPr>
        <w:rStyle w:val="a5"/>
      </w:rPr>
      <w:fldChar w:fldCharType="begin"/>
    </w:r>
    <w:r w:rsidRPr="002C7EA9">
      <w:rPr>
        <w:rStyle w:val="a5"/>
      </w:rPr>
      <w:instrText xml:space="preserve"> PAGE </w:instrText>
    </w:r>
    <w:r w:rsidR="0088449B" w:rsidRPr="002C7EA9">
      <w:rPr>
        <w:rStyle w:val="a5"/>
      </w:rPr>
      <w:fldChar w:fldCharType="separate"/>
    </w:r>
    <w:r w:rsidR="007B7566">
      <w:rPr>
        <w:rStyle w:val="a5"/>
        <w:noProof/>
      </w:rPr>
      <w:t>2</w:t>
    </w:r>
    <w:r w:rsidR="0088449B" w:rsidRPr="002C7EA9">
      <w:rPr>
        <w:rStyle w:val="a5"/>
      </w:rPr>
      <w:fldChar w:fldCharType="end"/>
    </w:r>
    <w:r w:rsidRPr="002C7EA9">
      <w:rPr>
        <w:rStyle w:val="a5"/>
      </w:rPr>
      <w:t xml:space="preserve"> of </w:t>
    </w:r>
    <w:r w:rsidR="0088449B" w:rsidRPr="002C7EA9">
      <w:rPr>
        <w:rStyle w:val="a5"/>
      </w:rPr>
      <w:fldChar w:fldCharType="begin"/>
    </w:r>
    <w:r w:rsidRPr="002C7EA9">
      <w:rPr>
        <w:rStyle w:val="a5"/>
      </w:rPr>
      <w:instrText xml:space="preserve"> NUMPAGES </w:instrText>
    </w:r>
    <w:r w:rsidR="0088449B" w:rsidRPr="002C7EA9">
      <w:rPr>
        <w:rStyle w:val="a5"/>
      </w:rPr>
      <w:fldChar w:fldCharType="separate"/>
    </w:r>
    <w:r w:rsidR="007B7566">
      <w:rPr>
        <w:rStyle w:val="a5"/>
        <w:noProof/>
      </w:rPr>
      <w:t>2</w:t>
    </w:r>
    <w:r w:rsidR="0088449B" w:rsidRPr="002C7EA9">
      <w:rPr>
        <w:rStyle w:val="a5"/>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93B" w:rsidRDefault="0097693B"/>
  <w:tbl>
    <w:tblPr>
      <w:tblW w:w="9923" w:type="dxa"/>
      <w:jc w:val="center"/>
      <w:tblLayout w:type="fixed"/>
      <w:tblCellMar>
        <w:left w:w="57" w:type="dxa"/>
        <w:right w:w="57" w:type="dxa"/>
      </w:tblCellMar>
      <w:tblLook w:val="0000"/>
    </w:tblPr>
    <w:tblGrid>
      <w:gridCol w:w="1617"/>
      <w:gridCol w:w="4394"/>
      <w:gridCol w:w="3912"/>
    </w:tblGrid>
    <w:tr w:rsidR="0097693B">
      <w:trPr>
        <w:cantSplit/>
        <w:trHeight w:val="204"/>
        <w:jc w:val="center"/>
      </w:trPr>
      <w:tc>
        <w:tcPr>
          <w:tcW w:w="1617" w:type="dxa"/>
          <w:tcBorders>
            <w:top w:val="single" w:sz="12" w:space="0" w:color="auto"/>
          </w:tcBorders>
        </w:tcPr>
        <w:p w:rsidR="0097693B" w:rsidRDefault="0097693B" w:rsidP="00762576">
          <w:pPr>
            <w:rPr>
              <w:b/>
              <w:bCs/>
            </w:rPr>
          </w:pPr>
          <w:r>
            <w:rPr>
              <w:b/>
              <w:bCs/>
            </w:rPr>
            <w:t>Contact:</w:t>
          </w:r>
        </w:p>
      </w:tc>
      <w:tc>
        <w:tcPr>
          <w:tcW w:w="4394" w:type="dxa"/>
          <w:tcBorders>
            <w:top w:val="single" w:sz="12" w:space="0" w:color="auto"/>
          </w:tcBorders>
        </w:tcPr>
        <w:p w:rsidR="00CD7AAF" w:rsidRPr="000C1AE6" w:rsidRDefault="000C1AE6" w:rsidP="00A97FB5">
          <w:pPr>
            <w:pStyle w:val="Equation"/>
            <w:tabs>
              <w:tab w:val="clear" w:pos="4820"/>
              <w:tab w:val="clear" w:pos="9639"/>
              <w:tab w:val="left" w:pos="1191"/>
              <w:tab w:val="left" w:pos="1588"/>
              <w:tab w:val="left" w:pos="1985"/>
            </w:tabs>
            <w:spacing w:beforeLines="0"/>
            <w:rPr>
              <w:rFonts w:eastAsiaTheme="minorEastAsia"/>
              <w:lang w:eastAsia="zh-CN"/>
            </w:rPr>
          </w:pPr>
          <w:r>
            <w:rPr>
              <w:rFonts w:eastAsiaTheme="minorEastAsia" w:hint="eastAsia"/>
              <w:lang w:eastAsia="zh-CN"/>
            </w:rPr>
            <w:t>GAO Xiaoyang,  CHINA</w:t>
          </w:r>
        </w:p>
      </w:tc>
      <w:tc>
        <w:tcPr>
          <w:tcW w:w="3912" w:type="dxa"/>
          <w:tcBorders>
            <w:top w:val="single" w:sz="12" w:space="0" w:color="auto"/>
          </w:tcBorders>
        </w:tcPr>
        <w:p w:rsidR="0097693B" w:rsidRPr="000C1AE6" w:rsidRDefault="0097693B" w:rsidP="00634E57">
          <w:pPr>
            <w:rPr>
              <w:rFonts w:eastAsiaTheme="minorEastAsia"/>
              <w:lang w:eastAsia="zh-CN"/>
            </w:rPr>
          </w:pPr>
          <w:r>
            <w:t>Email</w:t>
          </w:r>
          <w:r>
            <w:rPr>
              <w:rFonts w:hint="eastAsia"/>
            </w:rPr>
            <w:t xml:space="preserve">: </w:t>
          </w:r>
          <w:r w:rsidR="000C1AE6">
            <w:rPr>
              <w:rFonts w:eastAsiaTheme="minorEastAsia" w:hint="eastAsia"/>
              <w:lang w:eastAsia="zh-CN"/>
            </w:rPr>
            <w:t>gaoxiaoyang@chinasatcom.com</w:t>
          </w:r>
        </w:p>
      </w:tc>
    </w:tr>
  </w:tbl>
  <w:p w:rsidR="0097693B" w:rsidRDefault="0097693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23BD" w:rsidRDefault="004023BD">
      <w:r>
        <w:separator/>
      </w:r>
    </w:p>
  </w:footnote>
  <w:footnote w:type="continuationSeparator" w:id="1">
    <w:p w:rsidR="004023BD" w:rsidRDefault="004023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93B" w:rsidRDefault="0097693B" w:rsidP="00C15633">
    <w:pPr>
      <w:pStyle w:val="a7"/>
      <w:tabs>
        <w:tab w:val="center" w:pos="4763"/>
        <w:tab w:val="left" w:pos="5820"/>
      </w:tabs>
      <w:rPr>
        <w:lang w:eastAsia="ko-KR"/>
      </w:rPr>
    </w:pPr>
    <w:r>
      <w:rPr>
        <w:lang w:eastAsia="ko-KR"/>
      </w:rPr>
      <w:tab/>
    </w:r>
  </w:p>
  <w:p w:rsidR="0097693B" w:rsidRDefault="0097693B" w:rsidP="00AD7E5F">
    <w:pPr>
      <w:pStyle w:val="a7"/>
      <w:tabs>
        <w:tab w:val="center" w:pos="4763"/>
        <w:tab w:val="left" w:pos="5820"/>
      </w:tabs>
      <w:rPr>
        <w:lang w:eastAsia="ko-K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F16C7"/>
    <w:multiLevelType w:val="hybridMultilevel"/>
    <w:tmpl w:val="49303F40"/>
    <w:lvl w:ilvl="0" w:tplc="B972DC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DDD7C46"/>
    <w:multiLevelType w:val="hybridMultilevel"/>
    <w:tmpl w:val="AB4292A0"/>
    <w:lvl w:ilvl="0" w:tplc="01708A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
    <w:nsid w:val="12590D2E"/>
    <w:multiLevelType w:val="hybridMultilevel"/>
    <w:tmpl w:val="BA888FFA"/>
    <w:lvl w:ilvl="0" w:tplc="B972DC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5">
    <w:nsid w:val="1FE558E5"/>
    <w:multiLevelType w:val="hybridMultilevel"/>
    <w:tmpl w:val="B60EA9A6"/>
    <w:lvl w:ilvl="0" w:tplc="70E8DF8C">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7">
    <w:nsid w:val="24353B63"/>
    <w:multiLevelType w:val="hybridMultilevel"/>
    <w:tmpl w:val="AB382502"/>
    <w:lvl w:ilvl="0" w:tplc="96223042">
      <w:start w:val="1"/>
      <w:numFmt w:val="decimal"/>
      <w:lvlText w:val="%1)"/>
      <w:lvlJc w:val="left"/>
      <w:pPr>
        <w:ind w:left="765" w:hanging="36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8">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9">
    <w:nsid w:val="270E0B70"/>
    <w:multiLevelType w:val="hybridMultilevel"/>
    <w:tmpl w:val="18062076"/>
    <w:lvl w:ilvl="0" w:tplc="642EAE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B46602C"/>
    <w:multiLevelType w:val="hybridMultilevel"/>
    <w:tmpl w:val="884EB158"/>
    <w:lvl w:ilvl="0" w:tplc="AA2252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0637DD7"/>
    <w:multiLevelType w:val="hybridMultilevel"/>
    <w:tmpl w:val="C41C08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3">
    <w:nsid w:val="30875F66"/>
    <w:multiLevelType w:val="hybridMultilevel"/>
    <w:tmpl w:val="E704371A"/>
    <w:lvl w:ilvl="0" w:tplc="273A4CF6">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36BB608D"/>
    <w:multiLevelType w:val="hybridMultilevel"/>
    <w:tmpl w:val="4C30491C"/>
    <w:lvl w:ilvl="0" w:tplc="04090001">
      <w:start w:val="1"/>
      <w:numFmt w:val="bullet"/>
      <w:lvlText w:val=""/>
      <w:lvlJc w:val="left"/>
      <w:pPr>
        <w:ind w:left="2925" w:hanging="360"/>
      </w:pPr>
      <w:rPr>
        <w:rFonts w:ascii="Symbol" w:hAnsi="Symbol" w:hint="default"/>
      </w:rPr>
    </w:lvl>
    <w:lvl w:ilvl="1" w:tplc="04090003" w:tentative="1">
      <w:start w:val="1"/>
      <w:numFmt w:val="bullet"/>
      <w:lvlText w:val="o"/>
      <w:lvlJc w:val="left"/>
      <w:pPr>
        <w:ind w:left="3645" w:hanging="360"/>
      </w:pPr>
      <w:rPr>
        <w:rFonts w:ascii="Courier New" w:hAnsi="Courier New" w:cs="Courier New" w:hint="default"/>
      </w:rPr>
    </w:lvl>
    <w:lvl w:ilvl="2" w:tplc="04090005" w:tentative="1">
      <w:start w:val="1"/>
      <w:numFmt w:val="bullet"/>
      <w:lvlText w:val=""/>
      <w:lvlJc w:val="left"/>
      <w:pPr>
        <w:ind w:left="4365" w:hanging="360"/>
      </w:pPr>
      <w:rPr>
        <w:rFonts w:ascii="Wingdings" w:hAnsi="Wingdings" w:hint="default"/>
      </w:rPr>
    </w:lvl>
    <w:lvl w:ilvl="3" w:tplc="04090001" w:tentative="1">
      <w:start w:val="1"/>
      <w:numFmt w:val="bullet"/>
      <w:lvlText w:val=""/>
      <w:lvlJc w:val="left"/>
      <w:pPr>
        <w:ind w:left="5085" w:hanging="360"/>
      </w:pPr>
      <w:rPr>
        <w:rFonts w:ascii="Symbol" w:hAnsi="Symbol" w:hint="default"/>
      </w:rPr>
    </w:lvl>
    <w:lvl w:ilvl="4" w:tplc="04090003" w:tentative="1">
      <w:start w:val="1"/>
      <w:numFmt w:val="bullet"/>
      <w:lvlText w:val="o"/>
      <w:lvlJc w:val="left"/>
      <w:pPr>
        <w:ind w:left="5805" w:hanging="360"/>
      </w:pPr>
      <w:rPr>
        <w:rFonts w:ascii="Courier New" w:hAnsi="Courier New" w:cs="Courier New" w:hint="default"/>
      </w:rPr>
    </w:lvl>
    <w:lvl w:ilvl="5" w:tplc="04090005" w:tentative="1">
      <w:start w:val="1"/>
      <w:numFmt w:val="bullet"/>
      <w:lvlText w:val=""/>
      <w:lvlJc w:val="left"/>
      <w:pPr>
        <w:ind w:left="6525" w:hanging="360"/>
      </w:pPr>
      <w:rPr>
        <w:rFonts w:ascii="Wingdings" w:hAnsi="Wingdings" w:hint="default"/>
      </w:rPr>
    </w:lvl>
    <w:lvl w:ilvl="6" w:tplc="04090001" w:tentative="1">
      <w:start w:val="1"/>
      <w:numFmt w:val="bullet"/>
      <w:lvlText w:val=""/>
      <w:lvlJc w:val="left"/>
      <w:pPr>
        <w:ind w:left="7245" w:hanging="360"/>
      </w:pPr>
      <w:rPr>
        <w:rFonts w:ascii="Symbol" w:hAnsi="Symbol" w:hint="default"/>
      </w:rPr>
    </w:lvl>
    <w:lvl w:ilvl="7" w:tplc="04090003" w:tentative="1">
      <w:start w:val="1"/>
      <w:numFmt w:val="bullet"/>
      <w:lvlText w:val="o"/>
      <w:lvlJc w:val="left"/>
      <w:pPr>
        <w:ind w:left="7965" w:hanging="360"/>
      </w:pPr>
      <w:rPr>
        <w:rFonts w:ascii="Courier New" w:hAnsi="Courier New" w:cs="Courier New" w:hint="default"/>
      </w:rPr>
    </w:lvl>
    <w:lvl w:ilvl="8" w:tplc="04090005" w:tentative="1">
      <w:start w:val="1"/>
      <w:numFmt w:val="bullet"/>
      <w:lvlText w:val=""/>
      <w:lvlJc w:val="left"/>
      <w:pPr>
        <w:ind w:left="8685" w:hanging="360"/>
      </w:pPr>
      <w:rPr>
        <w:rFonts w:ascii="Wingdings" w:hAnsi="Wingdings" w:hint="default"/>
      </w:rPr>
    </w:lvl>
  </w:abstractNum>
  <w:abstractNum w:abstractNumId="15">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6">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7">
    <w:nsid w:val="38F30D8B"/>
    <w:multiLevelType w:val="hybridMultilevel"/>
    <w:tmpl w:val="625E3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525B70"/>
    <w:multiLevelType w:val="hybridMultilevel"/>
    <w:tmpl w:val="A7BC7D34"/>
    <w:lvl w:ilvl="0" w:tplc="04090019">
      <w:start w:val="1"/>
      <w:numFmt w:val="lowerLetter"/>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9">
    <w:nsid w:val="4F35772F"/>
    <w:multiLevelType w:val="hybridMultilevel"/>
    <w:tmpl w:val="157C8970"/>
    <w:lvl w:ilvl="0" w:tplc="53BCC5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00339B4"/>
    <w:multiLevelType w:val="hybridMultilevel"/>
    <w:tmpl w:val="B5B200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4D70073"/>
    <w:multiLevelType w:val="hybridMultilevel"/>
    <w:tmpl w:val="F8243E7A"/>
    <w:lvl w:ilvl="0" w:tplc="9362B7BA">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5BDF38A9"/>
    <w:multiLevelType w:val="hybridMultilevel"/>
    <w:tmpl w:val="A092AB50"/>
    <w:lvl w:ilvl="0" w:tplc="2BDC0394">
      <w:start w:val="1"/>
      <w:numFmt w:val="decimal"/>
      <w:lvlText w:val="%1)"/>
      <w:lvlJc w:val="left"/>
      <w:pPr>
        <w:ind w:left="717" w:hanging="360"/>
      </w:pPr>
      <w:rPr>
        <w:rFonts w:hint="default"/>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23">
    <w:nsid w:val="61954B78"/>
    <w:multiLevelType w:val="hybridMultilevel"/>
    <w:tmpl w:val="B12EBADE"/>
    <w:lvl w:ilvl="0" w:tplc="004803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4B55195"/>
    <w:multiLevelType w:val="hybridMultilevel"/>
    <w:tmpl w:val="08C60842"/>
    <w:lvl w:ilvl="0" w:tplc="53BCC5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55117ED"/>
    <w:multiLevelType w:val="hybridMultilevel"/>
    <w:tmpl w:val="2DBC12CC"/>
    <w:lvl w:ilvl="0" w:tplc="9362B7BA">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692A498F"/>
    <w:multiLevelType w:val="hybridMultilevel"/>
    <w:tmpl w:val="851643C4"/>
    <w:lvl w:ilvl="0" w:tplc="7654F9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B16683F"/>
    <w:multiLevelType w:val="hybridMultilevel"/>
    <w:tmpl w:val="2FA63C1C"/>
    <w:lvl w:ilvl="0" w:tplc="B816B436">
      <w:start w:val="1"/>
      <w:numFmt w:val="bullet"/>
      <w:lvlText w:val="-"/>
      <w:lvlJc w:val="left"/>
      <w:pPr>
        <w:ind w:left="1080" w:hanging="360"/>
      </w:pPr>
      <w:rPr>
        <w:rFonts w:ascii="Times New Roman" w:eastAsia="BatangChe"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BF31F59"/>
    <w:multiLevelType w:val="hybridMultilevel"/>
    <w:tmpl w:val="E09C50E4"/>
    <w:lvl w:ilvl="0" w:tplc="8BE2E342">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00D5F5F"/>
    <w:multiLevelType w:val="hybridMultilevel"/>
    <w:tmpl w:val="F0D82878"/>
    <w:lvl w:ilvl="0" w:tplc="94A047C0">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1">
    <w:nsid w:val="738E5BB6"/>
    <w:multiLevelType w:val="hybridMultilevel"/>
    <w:tmpl w:val="42426A7C"/>
    <w:lvl w:ilvl="0" w:tplc="01708A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5"/>
  </w:num>
  <w:num w:numId="2">
    <w:abstractNumId w:val="8"/>
  </w:num>
  <w:num w:numId="3">
    <w:abstractNumId w:val="6"/>
  </w:num>
  <w:num w:numId="4">
    <w:abstractNumId w:val="30"/>
  </w:num>
  <w:num w:numId="5">
    <w:abstractNumId w:val="12"/>
  </w:num>
  <w:num w:numId="6">
    <w:abstractNumId w:val="16"/>
  </w:num>
  <w:num w:numId="7">
    <w:abstractNumId w:val="4"/>
  </w:num>
  <w:num w:numId="8">
    <w:abstractNumId w:val="2"/>
  </w:num>
  <w:num w:numId="9">
    <w:abstractNumId w:val="18"/>
  </w:num>
  <w:num w:numId="10">
    <w:abstractNumId w:val="14"/>
  </w:num>
  <w:num w:numId="11">
    <w:abstractNumId w:val="11"/>
  </w:num>
  <w:num w:numId="12">
    <w:abstractNumId w:val="29"/>
  </w:num>
  <w:num w:numId="13">
    <w:abstractNumId w:val="25"/>
  </w:num>
  <w:num w:numId="14">
    <w:abstractNumId w:val="21"/>
  </w:num>
  <w:num w:numId="15">
    <w:abstractNumId w:val="20"/>
  </w:num>
  <w:num w:numId="16">
    <w:abstractNumId w:val="27"/>
  </w:num>
  <w:num w:numId="17">
    <w:abstractNumId w:val="10"/>
  </w:num>
  <w:num w:numId="18">
    <w:abstractNumId w:val="17"/>
  </w:num>
  <w:num w:numId="19">
    <w:abstractNumId w:val="23"/>
  </w:num>
  <w:num w:numId="20">
    <w:abstractNumId w:val="28"/>
  </w:num>
  <w:num w:numId="21">
    <w:abstractNumId w:val="31"/>
  </w:num>
  <w:num w:numId="22">
    <w:abstractNumId w:val="1"/>
  </w:num>
  <w:num w:numId="23">
    <w:abstractNumId w:val="3"/>
  </w:num>
  <w:num w:numId="24">
    <w:abstractNumId w:val="0"/>
  </w:num>
  <w:num w:numId="25">
    <w:abstractNumId w:val="26"/>
  </w:num>
  <w:num w:numId="26">
    <w:abstractNumId w:val="24"/>
  </w:num>
  <w:num w:numId="27">
    <w:abstractNumId w:val="19"/>
  </w:num>
  <w:num w:numId="28">
    <w:abstractNumId w:val="5"/>
  </w:num>
  <w:num w:numId="29">
    <w:abstractNumId w:val="9"/>
  </w:num>
  <w:num w:numId="30">
    <w:abstractNumId w:val="13"/>
  </w:num>
  <w:num w:numId="31">
    <w:abstractNumId w:val="22"/>
  </w:num>
  <w:num w:numId="3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efaultTabStop w:val="720"/>
  <w:drawingGridHorizontalSpacing w:val="120"/>
  <w:displayHorizontalDrawingGridEvery w:val="2"/>
  <w:displayVerticalDrawingGridEvery w:val="2"/>
  <w:noPunctuationKerning/>
  <w:characterSpacingControl w:val="doNotCompress"/>
  <w:hdrShapeDefaults>
    <o:shapedefaults v:ext="edit" spidmax="43010"/>
  </w:hdrShapeDefaults>
  <w:footnotePr>
    <w:footnote w:id="0"/>
    <w:footnote w:id="1"/>
  </w:footnotePr>
  <w:endnotePr>
    <w:endnote w:id="0"/>
    <w:endnote w:id="1"/>
  </w:endnotePr>
  <w:compat>
    <w:applyBreakingRules/>
    <w:useFELayout/>
  </w:compat>
  <w:rsids>
    <w:rsidRoot w:val="00A749D2"/>
    <w:rsid w:val="00007CBB"/>
    <w:rsid w:val="000323E9"/>
    <w:rsid w:val="0003595B"/>
    <w:rsid w:val="000501B5"/>
    <w:rsid w:val="000713CF"/>
    <w:rsid w:val="00081555"/>
    <w:rsid w:val="00086912"/>
    <w:rsid w:val="0009175E"/>
    <w:rsid w:val="000A0654"/>
    <w:rsid w:val="000A5418"/>
    <w:rsid w:val="000A7791"/>
    <w:rsid w:val="000B535C"/>
    <w:rsid w:val="000C1AE6"/>
    <w:rsid w:val="000F517C"/>
    <w:rsid w:val="000F5540"/>
    <w:rsid w:val="000F5E6F"/>
    <w:rsid w:val="00105692"/>
    <w:rsid w:val="001539DD"/>
    <w:rsid w:val="00155CC8"/>
    <w:rsid w:val="0015661F"/>
    <w:rsid w:val="0016744F"/>
    <w:rsid w:val="0018046B"/>
    <w:rsid w:val="00196568"/>
    <w:rsid w:val="001A2F16"/>
    <w:rsid w:val="001A66F4"/>
    <w:rsid w:val="001B18C2"/>
    <w:rsid w:val="001D337D"/>
    <w:rsid w:val="001D5D7E"/>
    <w:rsid w:val="00231AB1"/>
    <w:rsid w:val="0023671F"/>
    <w:rsid w:val="00240990"/>
    <w:rsid w:val="00243F10"/>
    <w:rsid w:val="00244791"/>
    <w:rsid w:val="00251E02"/>
    <w:rsid w:val="00254A1B"/>
    <w:rsid w:val="00261869"/>
    <w:rsid w:val="0028454D"/>
    <w:rsid w:val="00291C9E"/>
    <w:rsid w:val="002926D4"/>
    <w:rsid w:val="002945C9"/>
    <w:rsid w:val="002A2C57"/>
    <w:rsid w:val="002B670F"/>
    <w:rsid w:val="002C07DA"/>
    <w:rsid w:val="002C14F3"/>
    <w:rsid w:val="002C7EA9"/>
    <w:rsid w:val="002E4D53"/>
    <w:rsid w:val="002E6441"/>
    <w:rsid w:val="002F4CF7"/>
    <w:rsid w:val="003036A0"/>
    <w:rsid w:val="0030452E"/>
    <w:rsid w:val="00342F20"/>
    <w:rsid w:val="003574EB"/>
    <w:rsid w:val="00357BDF"/>
    <w:rsid w:val="00374E6B"/>
    <w:rsid w:val="003809C7"/>
    <w:rsid w:val="00382D6D"/>
    <w:rsid w:val="003835D6"/>
    <w:rsid w:val="00397701"/>
    <w:rsid w:val="003B6263"/>
    <w:rsid w:val="003C64A7"/>
    <w:rsid w:val="003D3FDA"/>
    <w:rsid w:val="003E5A5F"/>
    <w:rsid w:val="003F205D"/>
    <w:rsid w:val="003F2C43"/>
    <w:rsid w:val="004023BD"/>
    <w:rsid w:val="00404DA3"/>
    <w:rsid w:val="00420822"/>
    <w:rsid w:val="00422124"/>
    <w:rsid w:val="004422DF"/>
    <w:rsid w:val="0045458F"/>
    <w:rsid w:val="004633B4"/>
    <w:rsid w:val="004B3553"/>
    <w:rsid w:val="004C4A45"/>
    <w:rsid w:val="004C52B1"/>
    <w:rsid w:val="004D3635"/>
    <w:rsid w:val="004E441E"/>
    <w:rsid w:val="004F3B0C"/>
    <w:rsid w:val="005050DA"/>
    <w:rsid w:val="00517E60"/>
    <w:rsid w:val="00530E8C"/>
    <w:rsid w:val="00545933"/>
    <w:rsid w:val="00557544"/>
    <w:rsid w:val="0057481F"/>
    <w:rsid w:val="00587875"/>
    <w:rsid w:val="005B4FBC"/>
    <w:rsid w:val="005C2C13"/>
    <w:rsid w:val="00607E2B"/>
    <w:rsid w:val="00623CE1"/>
    <w:rsid w:val="00626923"/>
    <w:rsid w:val="0063062B"/>
    <w:rsid w:val="00634E57"/>
    <w:rsid w:val="00652D71"/>
    <w:rsid w:val="006556E2"/>
    <w:rsid w:val="00667229"/>
    <w:rsid w:val="00682BE5"/>
    <w:rsid w:val="00686809"/>
    <w:rsid w:val="00690FED"/>
    <w:rsid w:val="006939A5"/>
    <w:rsid w:val="006A029F"/>
    <w:rsid w:val="006A3691"/>
    <w:rsid w:val="006F5792"/>
    <w:rsid w:val="00712451"/>
    <w:rsid w:val="007268D5"/>
    <w:rsid w:val="007312F3"/>
    <w:rsid w:val="00732F08"/>
    <w:rsid w:val="0074190C"/>
    <w:rsid w:val="0074726E"/>
    <w:rsid w:val="00762576"/>
    <w:rsid w:val="007745A6"/>
    <w:rsid w:val="00791060"/>
    <w:rsid w:val="007B5626"/>
    <w:rsid w:val="007B7566"/>
    <w:rsid w:val="007C7205"/>
    <w:rsid w:val="007E4AD4"/>
    <w:rsid w:val="007F3AC5"/>
    <w:rsid w:val="007F766C"/>
    <w:rsid w:val="0080570B"/>
    <w:rsid w:val="008148E1"/>
    <w:rsid w:val="0082076F"/>
    <w:rsid w:val="0082296B"/>
    <w:rsid w:val="008319BF"/>
    <w:rsid w:val="00860180"/>
    <w:rsid w:val="00864918"/>
    <w:rsid w:val="0087451E"/>
    <w:rsid w:val="00876DE9"/>
    <w:rsid w:val="00883A99"/>
    <w:rsid w:val="0088449B"/>
    <w:rsid w:val="008C7F63"/>
    <w:rsid w:val="008D0E09"/>
    <w:rsid w:val="008E0B2B"/>
    <w:rsid w:val="00907F9F"/>
    <w:rsid w:val="00912963"/>
    <w:rsid w:val="0092750B"/>
    <w:rsid w:val="009306A6"/>
    <w:rsid w:val="00931DF4"/>
    <w:rsid w:val="00941BD9"/>
    <w:rsid w:val="00965852"/>
    <w:rsid w:val="0097693B"/>
    <w:rsid w:val="00993355"/>
    <w:rsid w:val="009A4A6D"/>
    <w:rsid w:val="009A676F"/>
    <w:rsid w:val="00A13265"/>
    <w:rsid w:val="00A35C8B"/>
    <w:rsid w:val="00A35DBC"/>
    <w:rsid w:val="00A3646C"/>
    <w:rsid w:val="00A5589C"/>
    <w:rsid w:val="00A71136"/>
    <w:rsid w:val="00A749D2"/>
    <w:rsid w:val="00A87D90"/>
    <w:rsid w:val="00A97FB5"/>
    <w:rsid w:val="00AA474C"/>
    <w:rsid w:val="00AA669C"/>
    <w:rsid w:val="00AB6878"/>
    <w:rsid w:val="00AD7E5F"/>
    <w:rsid w:val="00B01AA1"/>
    <w:rsid w:val="00B05A09"/>
    <w:rsid w:val="00B239BA"/>
    <w:rsid w:val="00B30C81"/>
    <w:rsid w:val="00B4793B"/>
    <w:rsid w:val="00B74C98"/>
    <w:rsid w:val="00B95AC7"/>
    <w:rsid w:val="00BB51DB"/>
    <w:rsid w:val="00BC727F"/>
    <w:rsid w:val="00BD2A08"/>
    <w:rsid w:val="00BD593F"/>
    <w:rsid w:val="00BD7E80"/>
    <w:rsid w:val="00BE089B"/>
    <w:rsid w:val="00BE13C5"/>
    <w:rsid w:val="00BE3A2C"/>
    <w:rsid w:val="00C06091"/>
    <w:rsid w:val="00C07A0F"/>
    <w:rsid w:val="00C15633"/>
    <w:rsid w:val="00C15799"/>
    <w:rsid w:val="00C21CCE"/>
    <w:rsid w:val="00C228D6"/>
    <w:rsid w:val="00C357AD"/>
    <w:rsid w:val="00C3598A"/>
    <w:rsid w:val="00C6069C"/>
    <w:rsid w:val="00C64EBE"/>
    <w:rsid w:val="00CD1E58"/>
    <w:rsid w:val="00CD3F5D"/>
    <w:rsid w:val="00CD49AE"/>
    <w:rsid w:val="00CD5431"/>
    <w:rsid w:val="00CD7AAF"/>
    <w:rsid w:val="00CF2491"/>
    <w:rsid w:val="00D053D2"/>
    <w:rsid w:val="00D06238"/>
    <w:rsid w:val="00D063AC"/>
    <w:rsid w:val="00D1252E"/>
    <w:rsid w:val="00D209C5"/>
    <w:rsid w:val="00D312F7"/>
    <w:rsid w:val="00D57772"/>
    <w:rsid w:val="00D73FAE"/>
    <w:rsid w:val="00D75A4D"/>
    <w:rsid w:val="00D8478B"/>
    <w:rsid w:val="00D86151"/>
    <w:rsid w:val="00D94C8F"/>
    <w:rsid w:val="00D95002"/>
    <w:rsid w:val="00D96EDE"/>
    <w:rsid w:val="00DA7595"/>
    <w:rsid w:val="00DB0A68"/>
    <w:rsid w:val="00DB3E34"/>
    <w:rsid w:val="00DC43A3"/>
    <w:rsid w:val="00DD470D"/>
    <w:rsid w:val="00DD7C09"/>
    <w:rsid w:val="00DE0F1B"/>
    <w:rsid w:val="00E00C4B"/>
    <w:rsid w:val="00E0124F"/>
    <w:rsid w:val="00E05ED8"/>
    <w:rsid w:val="00E674D3"/>
    <w:rsid w:val="00E70FD0"/>
    <w:rsid w:val="00E71BEE"/>
    <w:rsid w:val="00E82ED0"/>
    <w:rsid w:val="00E8791E"/>
    <w:rsid w:val="00EA4D5A"/>
    <w:rsid w:val="00F075EB"/>
    <w:rsid w:val="00F65FB4"/>
    <w:rsid w:val="00F84067"/>
    <w:rsid w:val="00FC01FF"/>
    <w:rsid w:val="00FD08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7595"/>
    <w:rPr>
      <w:rFonts w:eastAsia="BatangChe"/>
      <w:sz w:val="24"/>
      <w:szCs w:val="24"/>
      <w:lang w:bidi="ar-SA"/>
    </w:rPr>
  </w:style>
  <w:style w:type="paragraph" w:styleId="1">
    <w:name w:val="heading 1"/>
    <w:basedOn w:val="a"/>
    <w:next w:val="a"/>
    <w:qFormat/>
    <w:rsid w:val="00DA7595"/>
    <w:pPr>
      <w:keepNext/>
      <w:jc w:val="center"/>
      <w:outlineLvl w:val="0"/>
    </w:pPr>
    <w:rPr>
      <w:b/>
      <w:bCs/>
      <w:u w:val="single"/>
    </w:rPr>
  </w:style>
  <w:style w:type="paragraph" w:styleId="8">
    <w:name w:val="heading 8"/>
    <w:basedOn w:val="a"/>
    <w:next w:val="a"/>
    <w:qFormat/>
    <w:rsid w:val="00DA7595"/>
    <w:pPr>
      <w:keepNext/>
      <w:widowControl w:val="0"/>
      <w:wordWrap w:val="0"/>
      <w:jc w:val="both"/>
      <w:outlineLvl w:val="7"/>
    </w:pPr>
    <w:rPr>
      <w:b/>
      <w:bCs/>
      <w:kern w:val="2"/>
      <w:sz w:val="20"/>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A7595"/>
    <w:pPr>
      <w:tabs>
        <w:tab w:val="center" w:pos="4320"/>
        <w:tab w:val="right" w:pos="8640"/>
      </w:tabs>
    </w:pPr>
  </w:style>
  <w:style w:type="paragraph" w:customStyle="1" w:styleId="a4">
    <w:name w:val="표"/>
    <w:basedOn w:val="a"/>
    <w:next w:val="a"/>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a5">
    <w:name w:val="page number"/>
    <w:basedOn w:val="a0"/>
    <w:rsid w:val="00DA7595"/>
  </w:style>
  <w:style w:type="paragraph" w:styleId="a6">
    <w:name w:val="Normal Indent"/>
    <w:basedOn w:val="a"/>
    <w:rsid w:val="00DA7595"/>
    <w:pPr>
      <w:widowControl w:val="0"/>
      <w:wordWrap w:val="0"/>
      <w:ind w:left="851"/>
      <w:jc w:val="both"/>
    </w:pPr>
    <w:rPr>
      <w:kern w:val="2"/>
      <w:sz w:val="20"/>
      <w:szCs w:val="20"/>
      <w:lang w:eastAsia="ko-KR"/>
    </w:rPr>
  </w:style>
  <w:style w:type="paragraph" w:customStyle="1" w:styleId="Note">
    <w:name w:val="Note"/>
    <w:basedOn w:val="a"/>
    <w:rsid w:val="00DA7595"/>
    <w:pPr>
      <w:tabs>
        <w:tab w:val="left" w:pos="284"/>
        <w:tab w:val="left" w:pos="1134"/>
        <w:tab w:val="left" w:pos="1871"/>
        <w:tab w:val="left" w:pos="2268"/>
      </w:tabs>
      <w:spacing w:before="160"/>
      <w:jc w:val="both"/>
    </w:pPr>
    <w:rPr>
      <w:noProof/>
      <w:sz w:val="20"/>
      <w:szCs w:val="20"/>
      <w:lang w:eastAsia="ko-KR"/>
    </w:rPr>
  </w:style>
  <w:style w:type="paragraph" w:styleId="a7">
    <w:name w:val="header"/>
    <w:basedOn w:val="a"/>
    <w:rsid w:val="0080570B"/>
    <w:pPr>
      <w:tabs>
        <w:tab w:val="center" w:pos="4320"/>
        <w:tab w:val="right" w:pos="8640"/>
      </w:tabs>
    </w:pPr>
  </w:style>
  <w:style w:type="paragraph" w:customStyle="1" w:styleId="Equation">
    <w:name w:val="Equation"/>
    <w:basedOn w:val="a"/>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customStyle="1" w:styleId="CharCharChar">
    <w:name w:val="Char Char Char"/>
    <w:basedOn w:val="a"/>
    <w:rsid w:val="00261869"/>
    <w:pPr>
      <w:tabs>
        <w:tab w:val="left" w:pos="540"/>
        <w:tab w:val="left" w:pos="1260"/>
        <w:tab w:val="left" w:pos="1800"/>
      </w:tabs>
      <w:spacing w:before="240" w:after="160" w:line="240" w:lineRule="exact"/>
    </w:pPr>
    <w:rPr>
      <w:rFonts w:ascii="Verdana" w:eastAsia="Times New Roman" w:hAnsi="Verdana"/>
      <w:szCs w:val="20"/>
    </w:rPr>
  </w:style>
  <w:style w:type="paragraph" w:styleId="a8">
    <w:name w:val="List Paragraph"/>
    <w:basedOn w:val="a"/>
    <w:uiPriority w:val="34"/>
    <w:qFormat/>
    <w:rsid w:val="00382D6D"/>
    <w:pPr>
      <w:ind w:left="720"/>
      <w:contextualSpacing/>
    </w:pPr>
  </w:style>
  <w:style w:type="table" w:styleId="a9">
    <w:name w:val="Table Grid"/>
    <w:basedOn w:val="a1"/>
    <w:uiPriority w:val="59"/>
    <w:rsid w:val="00C359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Elegant"/>
    <w:basedOn w:val="a1"/>
    <w:rsid w:val="00BD7E80"/>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b">
    <w:name w:val="Hyperlink"/>
    <w:rsid w:val="00CD7AA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7595"/>
    <w:rPr>
      <w:rFonts w:eastAsia="BatangChe"/>
      <w:sz w:val="24"/>
      <w:szCs w:val="24"/>
      <w:lang w:bidi="ar-SA"/>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customStyle="1" w:styleId="CharCharChar">
    <w:name w:val="Char Char Char"/>
    <w:basedOn w:val="Normal"/>
    <w:rsid w:val="00261869"/>
    <w:pPr>
      <w:tabs>
        <w:tab w:val="left" w:pos="540"/>
        <w:tab w:val="left" w:pos="1260"/>
        <w:tab w:val="left" w:pos="1800"/>
      </w:tabs>
      <w:spacing w:before="240" w:after="160" w:line="240" w:lineRule="exact"/>
    </w:pPr>
    <w:rPr>
      <w:rFonts w:ascii="Verdana" w:eastAsia="Times New Roman" w:hAnsi="Verdana"/>
      <w:szCs w:val="20"/>
    </w:rPr>
  </w:style>
  <w:style w:type="paragraph" w:styleId="ListParagraph">
    <w:name w:val="List Paragraph"/>
    <w:basedOn w:val="Normal"/>
    <w:uiPriority w:val="34"/>
    <w:qFormat/>
    <w:rsid w:val="00382D6D"/>
    <w:pPr>
      <w:ind w:left="720"/>
      <w:contextualSpacing/>
    </w:pPr>
  </w:style>
  <w:style w:type="table" w:styleId="TableGrid">
    <w:name w:val="Table Grid"/>
    <w:basedOn w:val="TableNormal"/>
    <w:uiPriority w:val="59"/>
    <w:rsid w:val="00C359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Elegant">
    <w:name w:val="Table Elegant"/>
    <w:basedOn w:val="TableNormal"/>
    <w:rsid w:val="00BD7E80"/>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Hyperlink">
    <w:name w:val="Hyperlink"/>
    <w:rsid w:val="00CD7AA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APT%20Docs\APG\APG2012\WRC-12\Coordination%20Meeting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96CE8-6479-4EB2-8E6B-976DD38AB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29</TotalTime>
  <Pages>2</Pages>
  <Words>362</Words>
  <Characters>2067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APT</Company>
  <LinksUpToDate>false</LinksUpToDate>
  <CharactersWithSpaces>2425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Forhadul Parvez</dc:creator>
  <cp:lastModifiedBy>高晓阳</cp:lastModifiedBy>
  <cp:revision>4</cp:revision>
  <cp:lastPrinted>2004-07-28T02:14:00Z</cp:lastPrinted>
  <dcterms:created xsi:type="dcterms:W3CDTF">2012-02-09T08:21:00Z</dcterms:created>
  <dcterms:modified xsi:type="dcterms:W3CDTF">2012-02-09T08:55:00Z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804043688</vt:i4>
  </property>
  <property fmtid="{D5CDD505-2E9C-101B-9397-08002B2CF9AE}" pid="3" name="_EmailSubject">
    <vt:lpwstr>AWF template</vt:lpwstr>
  </property>
  <property fmtid="{D5CDD505-2E9C-101B-9397-08002B2CF9AE}" pid="4" name="_AuthorEmail">
    <vt:lpwstr>jysong@samsung.com</vt:lpwstr>
  </property>
  <property fmtid="{D5CDD505-2E9C-101B-9397-08002B2CF9AE}" pid="5" name="_AuthorEmailDisplayName">
    <vt:lpwstr>Juyeon Song</vt:lpwstr>
  </property>
  <property fmtid="{D5CDD505-2E9C-101B-9397-08002B2CF9AE}" pid="6" name="_ReviewingToolsShownOnce">
    <vt:lpwstr/>
  </property>
</Properties>
</file>