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zh-CN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4B3553" w:rsidP="007E4AD4">
            <w:pPr>
              <w:rPr>
                <w:b/>
              </w:rPr>
            </w:pP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D7AAF" w:rsidRPr="000C1AE6" w:rsidRDefault="00A749D2" w:rsidP="00A749D2">
      <w:pPr>
        <w:rPr>
          <w:rFonts w:eastAsiaTheme="minorEastAsia"/>
          <w:snapToGrid w:val="0"/>
          <w:lang w:eastAsia="zh-CN"/>
        </w:rPr>
      </w:pPr>
      <w:r>
        <w:rPr>
          <w:snapToGrid w:val="0"/>
        </w:rPr>
        <w:t>Date:</w:t>
      </w:r>
      <w:r w:rsidR="000C1AE6">
        <w:rPr>
          <w:rFonts w:eastAsiaTheme="minorEastAsia" w:hint="eastAsia"/>
          <w:snapToGrid w:val="0"/>
          <w:lang w:eastAsia="zh-CN"/>
        </w:rPr>
        <w:t xml:space="preserve"> Jan. 30, 2012</w:t>
      </w:r>
    </w:p>
    <w:p w:rsidR="00A749D2" w:rsidRDefault="00A749D2" w:rsidP="00A749D2">
      <w:pPr>
        <w:rPr>
          <w:snapToGrid w:val="0"/>
        </w:rPr>
      </w:pPr>
      <w:bookmarkStart w:id="0" w:name="_GoBack"/>
      <w:bookmarkEnd w:id="0"/>
    </w:p>
    <w:p w:rsidR="00A749D2" w:rsidRDefault="00A749D2" w:rsidP="00A749D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REPORT OF THE WRC-12 AGENDA ITEM COORDINATOR</w:t>
      </w:r>
    </w:p>
    <w:p w:rsidR="00A749D2" w:rsidRDefault="00A749D2" w:rsidP="00A749D2">
      <w:pPr>
        <w:jc w:val="center"/>
        <w:rPr>
          <w:b/>
          <w:bCs/>
          <w:sz w:val="28"/>
        </w:rPr>
      </w:pPr>
    </w:p>
    <w:tbl>
      <w:tblPr>
        <w:tblStyle w:val="a9"/>
        <w:tblW w:w="0" w:type="auto"/>
        <w:tblLook w:val="04A0"/>
      </w:tblPr>
      <w:tblGrid>
        <w:gridCol w:w="9242"/>
      </w:tblGrid>
      <w:tr w:rsidR="00A749D2" w:rsidTr="00BA0398">
        <w:tc>
          <w:tcPr>
            <w:tcW w:w="9242" w:type="dxa"/>
          </w:tcPr>
          <w:p w:rsidR="00A749D2" w:rsidRPr="00AE27E9" w:rsidRDefault="00A749D2" w:rsidP="00BA0398">
            <w:r w:rsidRPr="00AE27E9">
              <w:rPr>
                <w:b/>
                <w:bCs/>
              </w:rPr>
              <w:t>Agenda Item</w:t>
            </w:r>
            <w:r>
              <w:rPr>
                <w:b/>
                <w:bCs/>
              </w:rPr>
              <w:t xml:space="preserve"> No.</w:t>
            </w:r>
            <w:r w:rsidRPr="00AE27E9">
              <w:t>:</w:t>
            </w:r>
          </w:p>
          <w:p w:rsidR="00A749D2" w:rsidRDefault="00A749D2" w:rsidP="00BA0398">
            <w:pPr>
              <w:rPr>
                <w:b/>
                <w:bCs/>
                <w:sz w:val="28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Pr="00DB3E34" w:rsidRDefault="00A749D2" w:rsidP="00BA0398">
            <w:pPr>
              <w:rPr>
                <w:rFonts w:eastAsiaTheme="minorEastAsia"/>
                <w:lang w:eastAsia="zh-CN"/>
              </w:rPr>
            </w:pPr>
            <w:r w:rsidRPr="00AE27E9">
              <w:rPr>
                <w:b/>
                <w:bCs/>
              </w:rPr>
              <w:t>Name of the Coordinator</w:t>
            </w:r>
            <w:r>
              <w:rPr>
                <w:b/>
                <w:bCs/>
              </w:rPr>
              <w:t xml:space="preserve"> ( with Email)</w:t>
            </w:r>
            <w:r>
              <w:t>:</w:t>
            </w:r>
            <w:r w:rsidR="00DB3E34">
              <w:rPr>
                <w:rFonts w:eastAsiaTheme="minorEastAsia" w:hint="eastAsia"/>
                <w:lang w:eastAsia="zh-CN"/>
              </w:rPr>
              <w:t xml:space="preserve"> GAO Xiaoyang (gaoxiaoyang@chinasatcom.com)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DB3E34" w:rsidRDefault="00A749D2" w:rsidP="00BA0398">
            <w:pPr>
              <w:rPr>
                <w:rFonts w:eastAsiaTheme="minorEastAsia"/>
                <w:b/>
                <w:bCs/>
                <w:lang w:eastAsia="zh-CN"/>
              </w:rPr>
            </w:pPr>
            <w:r w:rsidRPr="00AE27E9">
              <w:rPr>
                <w:b/>
                <w:bCs/>
              </w:rPr>
              <w:t>Issues:</w:t>
            </w:r>
          </w:p>
          <w:p w:rsidR="00A749D2" w:rsidRPr="00DB3E34" w:rsidRDefault="00DB3E34" w:rsidP="00DB3E34">
            <w:pPr>
              <w:rPr>
                <w:rFonts w:eastAsiaTheme="minorEastAsia"/>
                <w:b/>
                <w:color w:val="000000"/>
                <w:lang w:eastAsia="zh-CN"/>
              </w:rPr>
            </w:pPr>
            <w:r w:rsidRPr="00D96D32">
              <w:rPr>
                <w:color w:val="000000"/>
              </w:rPr>
              <w:t>7</w:t>
            </w:r>
            <w:r w:rsidRPr="00D96D32">
              <w:rPr>
                <w:color w:val="000000"/>
              </w:rPr>
              <w:tab/>
              <w:t xml:space="preserve">to consider possible changes in response to Resolution </w:t>
            </w:r>
            <w:r w:rsidRPr="00D96D32">
              <w:rPr>
                <w:bCs/>
                <w:color w:val="000000"/>
              </w:rPr>
              <w:t xml:space="preserve">86 (Rev. Marrakesh, 2002) of the Plenipotentiary Conference: </w:t>
            </w:r>
            <w:r w:rsidRPr="00D96D32">
              <w:rPr>
                <w:color w:val="000000"/>
              </w:rPr>
              <w:t>“Advance publication, coordination, notification and recording procedures for frequency assignments pertaining to satellite networks”,</w:t>
            </w:r>
            <w:r w:rsidRPr="00D96D32">
              <w:rPr>
                <w:color w:val="000000"/>
                <w:lang w:eastAsia="ja-JP"/>
              </w:rPr>
              <w:t xml:space="preserve"> in accordance with </w:t>
            </w:r>
            <w:r w:rsidRPr="00D96D32">
              <w:rPr>
                <w:snapToGrid w:val="0"/>
                <w:color w:val="000000"/>
              </w:rPr>
              <w:t>Resolution </w:t>
            </w:r>
            <w:r w:rsidRPr="00D96D32">
              <w:rPr>
                <w:b/>
                <w:color w:val="000000"/>
              </w:rPr>
              <w:t>86</w:t>
            </w:r>
            <w:r w:rsidRPr="00D96D32">
              <w:rPr>
                <w:b/>
                <w:color w:val="000000"/>
                <w:lang w:eastAsia="ja-JP"/>
              </w:rPr>
              <w:t>(Rev.WRC</w:t>
            </w:r>
            <w:r w:rsidRPr="00D96D32">
              <w:rPr>
                <w:b/>
                <w:color w:val="000000"/>
                <w:lang w:eastAsia="ja-JP"/>
              </w:rPr>
              <w:noBreakHyphen/>
              <w:t>07)</w:t>
            </w:r>
            <w:r w:rsidRPr="00D96D32">
              <w:rPr>
                <w:bCs/>
                <w:color w:val="000000"/>
              </w:rPr>
              <w:t>;</w:t>
            </w:r>
          </w:p>
        </w:tc>
      </w:tr>
      <w:tr w:rsidR="00A749D2" w:rsidTr="00BA0398">
        <w:tc>
          <w:tcPr>
            <w:tcW w:w="9242" w:type="dxa"/>
          </w:tcPr>
          <w:p w:rsidR="00A749D2" w:rsidRPr="00086912" w:rsidRDefault="00A749D2" w:rsidP="00BA0398">
            <w:pPr>
              <w:rPr>
                <w:rFonts w:eastAsiaTheme="minorEastAsia"/>
                <w:lang w:eastAsia="zh-CN"/>
              </w:rPr>
            </w:pPr>
            <w:r>
              <w:rPr>
                <w:b/>
                <w:bCs/>
              </w:rPr>
              <w:t>APT Proposals</w:t>
            </w:r>
            <w:r>
              <w:t>:</w:t>
            </w:r>
          </w:p>
          <w:p w:rsidR="000C1AE6" w:rsidRDefault="00086912" w:rsidP="00907F9F">
            <w:p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There are </w:t>
            </w:r>
            <w:r w:rsidR="000C1AE6">
              <w:rPr>
                <w:rFonts w:eastAsiaTheme="minorEastAsia" w:hint="eastAsia"/>
                <w:lang w:eastAsia="zh-CN"/>
              </w:rPr>
              <w:t xml:space="preserve">APT common proposals on the </w:t>
            </w:r>
            <w:r>
              <w:rPr>
                <w:rFonts w:eastAsiaTheme="minorEastAsia" w:hint="eastAsia"/>
                <w:lang w:eastAsia="zh-CN"/>
              </w:rPr>
              <w:t xml:space="preserve">various issues under the AI 7, except for the issues </w:t>
            </w:r>
            <w:r w:rsidR="00517E60">
              <w:rPr>
                <w:rFonts w:eastAsiaTheme="minorEastAsia" w:hint="eastAsia"/>
                <w:lang w:eastAsia="zh-CN"/>
              </w:rPr>
              <w:t>2</w:t>
            </w:r>
            <w:r w:rsidR="000C1AE6">
              <w:rPr>
                <w:rFonts w:eastAsiaTheme="minorEastAsia" w:hint="eastAsia"/>
                <w:lang w:eastAsia="zh-CN"/>
              </w:rPr>
              <w:t>B</w:t>
            </w:r>
            <w:r w:rsidR="00517E60">
              <w:rPr>
                <w:rFonts w:eastAsiaTheme="minorEastAsia" w:hint="eastAsia"/>
                <w:lang w:eastAsia="zh-CN"/>
              </w:rPr>
              <w:t>, 2C, 4B, 4F, 6B and 6C</w:t>
            </w:r>
            <w:r w:rsidR="000C1AE6">
              <w:rPr>
                <w:rFonts w:eastAsiaTheme="minorEastAsia" w:hint="eastAsia"/>
                <w:lang w:eastAsia="zh-CN"/>
              </w:rPr>
              <w:t xml:space="preserve">, noting </w:t>
            </w:r>
            <w:r w:rsidR="00517E60">
              <w:rPr>
                <w:rFonts w:eastAsiaTheme="minorEastAsia" w:hint="eastAsia"/>
                <w:lang w:eastAsia="zh-CN"/>
              </w:rPr>
              <w:t>our APT specific views on the issue:</w:t>
            </w:r>
            <w:r w:rsidR="00517E60" w:rsidRPr="00517E60">
              <w:rPr>
                <w:rFonts w:eastAsiaTheme="minorEastAsia"/>
                <w:lang w:eastAsia="zh-CN"/>
              </w:rPr>
              <w:t xml:space="preserve"> Examination of frequency assignments to an inter-satellite link o</w:t>
            </w:r>
            <w:r w:rsidR="00517E60">
              <w:rPr>
                <w:rFonts w:eastAsiaTheme="minorEastAsia"/>
                <w:lang w:eastAsia="zh-CN"/>
              </w:rPr>
              <w:t>f a geostationary space station</w:t>
            </w:r>
            <w:r w:rsidR="00517E60">
              <w:rPr>
                <w:rFonts w:eastAsiaTheme="minorEastAsia" w:hint="eastAsia"/>
                <w:lang w:eastAsia="zh-CN"/>
              </w:rPr>
              <w:t xml:space="preserve"> </w:t>
            </w:r>
            <w:r w:rsidR="00517E60" w:rsidRPr="00517E60">
              <w:rPr>
                <w:rFonts w:eastAsiaTheme="minorEastAsia"/>
                <w:lang w:eastAsia="zh-CN"/>
              </w:rPr>
              <w:t>communicating with a non-geostationary space station</w:t>
            </w:r>
            <w:r w:rsidR="000C1AE6">
              <w:rPr>
                <w:rFonts w:eastAsiaTheme="minorEastAsia" w:hint="eastAsia"/>
                <w:lang w:eastAsia="zh-CN"/>
              </w:rPr>
              <w:t xml:space="preserve">. </w:t>
            </w:r>
          </w:p>
          <w:p w:rsidR="000C1AE6" w:rsidRDefault="000C1AE6" w:rsidP="00907F9F">
            <w:p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For the detail, please read the </w:t>
            </w:r>
            <w:r>
              <w:rPr>
                <w:rFonts w:eastAsiaTheme="minorEastAsia"/>
                <w:lang w:eastAsia="zh-CN"/>
              </w:rPr>
              <w:t>Addendum 28 to</w:t>
            </w:r>
            <w:r>
              <w:rPr>
                <w:rFonts w:eastAsiaTheme="minorEastAsia" w:hint="eastAsia"/>
                <w:lang w:eastAsia="zh-CN"/>
              </w:rPr>
              <w:t xml:space="preserve"> the </w:t>
            </w:r>
            <w:r w:rsidRPr="000C1AE6">
              <w:rPr>
                <w:rFonts w:eastAsiaTheme="minorEastAsia"/>
                <w:lang w:eastAsia="zh-CN"/>
              </w:rPr>
              <w:t>Document 26-E</w:t>
            </w:r>
          </w:p>
          <w:p w:rsidR="00BD593F" w:rsidRPr="000C1AE6" w:rsidRDefault="0082296B" w:rsidP="00907F9F">
            <w:p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In the first </w:t>
            </w:r>
            <w:r>
              <w:rPr>
                <w:rFonts w:eastAsiaTheme="minorEastAsia"/>
                <w:lang w:eastAsia="zh-CN"/>
              </w:rPr>
              <w:t>SWG 5B3</w:t>
            </w:r>
            <w:r>
              <w:rPr>
                <w:rFonts w:eastAsiaTheme="minorEastAsia" w:hint="eastAsia"/>
                <w:lang w:eastAsia="zh-CN"/>
              </w:rPr>
              <w:t xml:space="preserve"> meeting, c</w:t>
            </w:r>
            <w:r w:rsidR="00BD593F">
              <w:rPr>
                <w:rFonts w:eastAsiaTheme="minorEastAsia" w:hint="eastAsia"/>
                <w:lang w:eastAsia="zh-CN"/>
              </w:rPr>
              <w:t xml:space="preserve">onsidering the issue on </w:t>
            </w:r>
            <w:r w:rsidR="00BD593F">
              <w:rPr>
                <w:rFonts w:eastAsiaTheme="minorEastAsia"/>
                <w:lang w:eastAsia="zh-CN"/>
              </w:rPr>
              <w:t>“</w:t>
            </w:r>
            <w:r w:rsidR="00BD593F" w:rsidRPr="00070AF3">
              <w:t>GSO/NGSO ISL</w:t>
            </w:r>
            <w:r w:rsidR="00BD593F">
              <w:rPr>
                <w:rFonts w:eastAsiaTheme="minorEastAsia"/>
                <w:lang w:eastAsia="zh-CN"/>
              </w:rPr>
              <w:t>”</w:t>
            </w:r>
            <w:r w:rsidR="00BD593F">
              <w:rPr>
                <w:rFonts w:eastAsiaTheme="minorEastAsia" w:hint="eastAsia"/>
                <w:lang w:eastAsia="zh-CN"/>
              </w:rPr>
              <w:t xml:space="preserve"> is not a new one, APT coordinator suggested </w:t>
            </w:r>
            <w:r>
              <w:rPr>
                <w:rFonts w:eastAsiaTheme="minorEastAsia"/>
                <w:lang w:eastAsia="zh-CN"/>
              </w:rPr>
              <w:t>attribut</w:t>
            </w:r>
            <w:r>
              <w:rPr>
                <w:rFonts w:eastAsiaTheme="minorEastAsia" w:hint="eastAsia"/>
                <w:lang w:eastAsia="zh-CN"/>
              </w:rPr>
              <w:t>ing</w:t>
            </w:r>
            <w:r w:rsidR="00BD593F">
              <w:rPr>
                <w:rFonts w:eastAsiaTheme="minorEastAsia" w:hint="eastAsia"/>
                <w:lang w:eastAsia="zh-CN"/>
              </w:rPr>
              <w:t xml:space="preserve"> it into Category 1.</w:t>
            </w:r>
            <w:r>
              <w:rPr>
                <w:rFonts w:eastAsiaTheme="minorEastAsia" w:hint="eastAsia"/>
                <w:lang w:eastAsia="zh-CN"/>
              </w:rPr>
              <w:t xml:space="preserve"> The </w:t>
            </w:r>
            <w:r>
              <w:rPr>
                <w:rFonts w:eastAsiaTheme="minorEastAsia"/>
                <w:lang w:eastAsia="zh-CN"/>
              </w:rPr>
              <w:t>SWG 5B3</w:t>
            </w:r>
            <w:r>
              <w:rPr>
                <w:rFonts w:eastAsiaTheme="minorEastAsia" w:hint="eastAsia"/>
                <w:lang w:eastAsia="zh-CN"/>
              </w:rPr>
              <w:t xml:space="preserve"> Chairman agreed to discuss it firstly when the other issues in the Category 1 is completed.</w:t>
            </w:r>
          </w:p>
          <w:p w:rsidR="00A749D2" w:rsidRPr="00AE27E9" w:rsidRDefault="00A749D2" w:rsidP="00BA0398"/>
        </w:tc>
      </w:tr>
      <w:tr w:rsidR="00A749D2" w:rsidTr="00BA0398">
        <w:tc>
          <w:tcPr>
            <w:tcW w:w="9242" w:type="dxa"/>
          </w:tcPr>
          <w:p w:rsidR="00A749D2" w:rsidRPr="001277C7" w:rsidRDefault="00A749D2" w:rsidP="00BA0398">
            <w:pPr>
              <w:rPr>
                <w:b/>
                <w:bCs/>
              </w:rPr>
            </w:pPr>
            <w:r>
              <w:rPr>
                <w:b/>
                <w:bCs/>
              </w:rPr>
              <w:t>Status of the APT Proposals:</w:t>
            </w:r>
          </w:p>
          <w:p w:rsidR="00A749D2" w:rsidRPr="00D312F7" w:rsidRDefault="00BD593F" w:rsidP="00907F9F">
            <w:p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In the </w:t>
            </w:r>
            <w:r w:rsidR="0082296B">
              <w:rPr>
                <w:rFonts w:eastAsiaTheme="minorEastAsia" w:hint="eastAsia"/>
                <w:lang w:eastAsia="zh-CN"/>
              </w:rPr>
              <w:t xml:space="preserve">second </w:t>
            </w:r>
            <w:r>
              <w:rPr>
                <w:rFonts w:eastAsiaTheme="minorEastAsia" w:hint="eastAsia"/>
                <w:lang w:eastAsia="zh-CN"/>
              </w:rPr>
              <w:t>SG5B meeting, t</w:t>
            </w:r>
            <w:r w:rsidR="00D312F7">
              <w:rPr>
                <w:rFonts w:eastAsiaTheme="minorEastAsia" w:hint="eastAsia"/>
                <w:lang w:eastAsia="zh-CN"/>
              </w:rPr>
              <w:t xml:space="preserve">he APT proposals are briefly introduced in the WG 5B meeting, pointing out the specific consideration on the issues 2A (the potential common proposal) and the new issue as </w:t>
            </w:r>
            <w:r w:rsidR="009306A6">
              <w:rPr>
                <w:rFonts w:eastAsiaTheme="minorEastAsia" w:hint="eastAsia"/>
                <w:lang w:eastAsia="zh-CN"/>
              </w:rPr>
              <w:t>indicated</w:t>
            </w:r>
            <w:r w:rsidR="00D312F7">
              <w:rPr>
                <w:rFonts w:eastAsiaTheme="minorEastAsia" w:hint="eastAsia"/>
                <w:lang w:eastAsia="zh-CN"/>
              </w:rPr>
              <w:t xml:space="preserve"> in the</w:t>
            </w:r>
            <w:r w:rsidR="00D312F7" w:rsidRPr="00D312F7">
              <w:rPr>
                <w:rFonts w:eastAsiaTheme="minorEastAsia"/>
                <w:lang w:eastAsia="zh-CN"/>
              </w:rPr>
              <w:t xml:space="preserve"> </w:t>
            </w:r>
            <w:r w:rsidR="009306A6">
              <w:rPr>
                <w:rFonts w:eastAsiaTheme="minorEastAsia" w:hint="eastAsia"/>
                <w:lang w:eastAsia="zh-CN"/>
              </w:rPr>
              <w:t>last part</w:t>
            </w:r>
            <w:r w:rsidR="00D312F7">
              <w:rPr>
                <w:rFonts w:eastAsiaTheme="minorEastAsia" w:hint="eastAsia"/>
                <w:lang w:eastAsia="zh-CN"/>
              </w:rPr>
              <w:t xml:space="preserve"> of the </w:t>
            </w:r>
            <w:r w:rsidR="00D312F7">
              <w:rPr>
                <w:rFonts w:eastAsiaTheme="minorEastAsia"/>
                <w:lang w:eastAsia="zh-CN"/>
              </w:rPr>
              <w:t>Revision 1 to</w:t>
            </w:r>
            <w:r w:rsidR="00D312F7">
              <w:rPr>
                <w:rFonts w:eastAsiaTheme="minorEastAsia" w:hint="eastAsia"/>
                <w:lang w:eastAsia="zh-CN"/>
              </w:rPr>
              <w:t xml:space="preserve"> </w:t>
            </w:r>
            <w:r w:rsidR="00D312F7" w:rsidRPr="00D312F7">
              <w:rPr>
                <w:rFonts w:eastAsiaTheme="minorEastAsia"/>
                <w:lang w:eastAsia="zh-CN"/>
              </w:rPr>
              <w:t>Document DT/30-E</w:t>
            </w:r>
            <w:r w:rsidR="009306A6">
              <w:rPr>
                <w:rFonts w:eastAsiaTheme="minorEastAsia" w:hint="eastAsia"/>
                <w:lang w:eastAsia="zh-CN"/>
              </w:rPr>
              <w:t xml:space="preserve">. </w:t>
            </w:r>
          </w:p>
          <w:p w:rsidR="00A749D2" w:rsidRDefault="00BD593F" w:rsidP="00907F9F">
            <w:p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In the first </w:t>
            </w:r>
            <w:r w:rsidR="00A3646C">
              <w:rPr>
                <w:rFonts w:eastAsiaTheme="minorEastAsia" w:hint="eastAsia"/>
                <w:lang w:eastAsia="zh-CN"/>
              </w:rPr>
              <w:t xml:space="preserve">three </w:t>
            </w:r>
            <w:r>
              <w:rPr>
                <w:rFonts w:eastAsiaTheme="minorEastAsia" w:hint="eastAsia"/>
                <w:lang w:eastAsia="zh-CN"/>
              </w:rPr>
              <w:t>SWG5B3 meeting</w:t>
            </w:r>
            <w:r w:rsidR="00A3646C">
              <w:rPr>
                <w:rFonts w:eastAsiaTheme="minorEastAsia" w:hint="eastAsia"/>
                <w:lang w:eastAsia="zh-CN"/>
              </w:rPr>
              <w:t>s</w:t>
            </w:r>
            <w:r w:rsidR="009306A6">
              <w:rPr>
                <w:rFonts w:eastAsiaTheme="minorEastAsia" w:hint="eastAsia"/>
                <w:lang w:eastAsia="zh-CN"/>
              </w:rPr>
              <w:t>, the Chairman assigned</w:t>
            </w:r>
            <w:r>
              <w:rPr>
                <w:rFonts w:eastAsiaTheme="minorEastAsia" w:hint="eastAsia"/>
                <w:lang w:eastAsia="zh-CN"/>
              </w:rPr>
              <w:t xml:space="preserve"> the issues based on their nature </w:t>
            </w:r>
            <w:r w:rsidR="00A3646C">
              <w:rPr>
                <w:rFonts w:eastAsiaTheme="minorEastAsia" w:hint="eastAsia"/>
                <w:lang w:eastAsia="zh-CN"/>
              </w:rPr>
              <w:t xml:space="preserve">with </w:t>
            </w:r>
            <w:r w:rsidR="009306A6">
              <w:rPr>
                <w:rFonts w:eastAsiaTheme="minorEastAsia" w:hint="eastAsia"/>
                <w:lang w:eastAsia="zh-CN"/>
              </w:rPr>
              <w:t xml:space="preserve">appropriate </w:t>
            </w:r>
            <w:r w:rsidR="00A3646C">
              <w:rPr>
                <w:rFonts w:eastAsiaTheme="minorEastAsia" w:hint="eastAsia"/>
                <w:lang w:eastAsia="zh-CN"/>
              </w:rPr>
              <w:t>modification proposal</w:t>
            </w:r>
            <w:r w:rsidR="009306A6">
              <w:rPr>
                <w:rFonts w:eastAsiaTheme="minorEastAsia" w:hint="eastAsia"/>
                <w:lang w:eastAsia="zh-CN"/>
              </w:rPr>
              <w:t>s</w:t>
            </w:r>
            <w:r w:rsidR="00A3646C"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 w:hint="eastAsia"/>
                <w:lang w:eastAsia="zh-CN"/>
              </w:rPr>
              <w:t xml:space="preserve">as </w:t>
            </w:r>
            <w:r w:rsidR="009306A6">
              <w:rPr>
                <w:rFonts w:eastAsiaTheme="minorEastAsia"/>
                <w:lang w:eastAsia="zh-CN"/>
              </w:rPr>
              <w:t>summarized</w:t>
            </w:r>
            <w:r w:rsidR="009306A6">
              <w:rPr>
                <w:rFonts w:eastAsiaTheme="minorEastAsia" w:hint="eastAsia"/>
                <w:lang w:eastAsia="zh-CN"/>
              </w:rPr>
              <w:t xml:space="preserve"> as </w:t>
            </w:r>
            <w:r>
              <w:rPr>
                <w:rFonts w:eastAsiaTheme="minorEastAsia" w:hint="eastAsia"/>
                <w:lang w:eastAsia="zh-CN"/>
              </w:rPr>
              <w:t>follows:</w:t>
            </w:r>
          </w:p>
          <w:p w:rsidR="00BD593F" w:rsidRPr="00A3646C" w:rsidRDefault="00BD593F" w:rsidP="00A3646C">
            <w:pPr>
              <w:spacing w:line="276" w:lineRule="auto"/>
              <w:rPr>
                <w:rFonts w:eastAsiaTheme="minorEastAsia"/>
                <w:lang w:eastAsia="zh-CN"/>
              </w:rPr>
            </w:pPr>
            <w:r>
              <w:t>Category 1 – Issues: 1A, 1C, 1E, 2D, 5A, 5B, 5C, 6C</w:t>
            </w:r>
            <w:r w:rsidR="00A3646C">
              <w:rPr>
                <w:rFonts w:eastAsiaTheme="minorEastAsia" w:hint="eastAsia"/>
                <w:lang w:eastAsia="zh-CN"/>
              </w:rPr>
              <w:t>,</w:t>
            </w:r>
            <w:r w:rsidR="00A3646C" w:rsidRPr="00070AF3">
              <w:t xml:space="preserve"> GSO/NGSO ISL</w:t>
            </w:r>
          </w:p>
          <w:p w:rsidR="00BD593F" w:rsidRDefault="00BD593F" w:rsidP="00BD593F">
            <w:r>
              <w:t>Category 2 – Issues: 1B, 1D, 2E, 4A, 4E, 6A</w:t>
            </w:r>
          </w:p>
          <w:p w:rsidR="00BD593F" w:rsidRDefault="00BD593F" w:rsidP="00BD593F">
            <w:r>
              <w:t xml:space="preserve">Category 3 – 2A, 2B, 2C, 3A, </w:t>
            </w:r>
            <w:r w:rsidR="009306A6">
              <w:rPr>
                <w:rFonts w:eastAsiaTheme="minorEastAsia" w:hint="eastAsia"/>
                <w:lang w:eastAsia="zh-CN"/>
              </w:rPr>
              <w:t xml:space="preserve">MODs to 13.6, </w:t>
            </w:r>
            <w:r>
              <w:t xml:space="preserve">3B, 4B, 4C, 4D, 4F, </w:t>
            </w:r>
            <w:r w:rsidR="009306A6">
              <w:t xml:space="preserve">New WRC Resolution on </w:t>
            </w:r>
            <w:r w:rsidR="009306A6">
              <w:rPr>
                <w:i/>
              </w:rPr>
              <w:t>force majeure</w:t>
            </w:r>
            <w:r w:rsidR="009306A6">
              <w:rPr>
                <w:rFonts w:eastAsiaTheme="minorEastAsia" w:hint="eastAsia"/>
                <w:i/>
                <w:lang w:eastAsia="zh-CN"/>
              </w:rPr>
              <w:t xml:space="preserve">, </w:t>
            </w:r>
            <w:r>
              <w:t>6B</w:t>
            </w:r>
          </w:p>
          <w:p w:rsidR="00BD593F" w:rsidRDefault="00BD593F" w:rsidP="00BD593F">
            <w:r>
              <w:t>Category 4</w:t>
            </w:r>
          </w:p>
          <w:p w:rsidR="00BD593F" w:rsidRPr="00070AF3" w:rsidRDefault="00BD593F" w:rsidP="00BD593F">
            <w:pPr>
              <w:pStyle w:val="a8"/>
              <w:numPr>
                <w:ilvl w:val="0"/>
                <w:numId w:val="18"/>
              </w:numPr>
              <w:spacing w:after="200" w:line="276" w:lineRule="auto"/>
            </w:pPr>
            <w:r w:rsidRPr="00070AF3">
              <w:t>MODs to No. 9.1</w:t>
            </w:r>
          </w:p>
          <w:p w:rsidR="00BD593F" w:rsidRPr="00070AF3" w:rsidRDefault="00BD593F" w:rsidP="00BD593F">
            <w:pPr>
              <w:pStyle w:val="a8"/>
              <w:numPr>
                <w:ilvl w:val="0"/>
                <w:numId w:val="18"/>
              </w:numPr>
              <w:spacing w:after="200" w:line="276" w:lineRule="auto"/>
            </w:pPr>
            <w:r w:rsidRPr="00070AF3">
              <w:t>AP30/30A/30B interim agreements</w:t>
            </w:r>
          </w:p>
          <w:p w:rsidR="00BD593F" w:rsidRPr="00070AF3" w:rsidRDefault="00BD593F" w:rsidP="00BD593F">
            <w:pPr>
              <w:pStyle w:val="a8"/>
              <w:numPr>
                <w:ilvl w:val="0"/>
                <w:numId w:val="18"/>
              </w:numPr>
              <w:spacing w:after="200" w:line="276" w:lineRule="auto"/>
            </w:pPr>
            <w:r w:rsidRPr="00070AF3">
              <w:t>Use of modern communications</w:t>
            </w:r>
          </w:p>
          <w:p w:rsidR="00BD593F" w:rsidRPr="00070AF3" w:rsidRDefault="00BD593F" w:rsidP="00BD593F">
            <w:pPr>
              <w:pStyle w:val="a8"/>
              <w:numPr>
                <w:ilvl w:val="0"/>
                <w:numId w:val="18"/>
              </w:numPr>
              <w:spacing w:after="200" w:line="276" w:lineRule="auto"/>
            </w:pPr>
            <w:r w:rsidRPr="00070AF3">
              <w:t>Consolidating notices</w:t>
            </w:r>
          </w:p>
          <w:p w:rsidR="00BD593F" w:rsidRPr="00070AF3" w:rsidRDefault="00BD593F" w:rsidP="00BD593F">
            <w:pPr>
              <w:pStyle w:val="a8"/>
              <w:numPr>
                <w:ilvl w:val="0"/>
                <w:numId w:val="18"/>
              </w:numPr>
              <w:spacing w:after="200" w:line="276" w:lineRule="auto"/>
            </w:pPr>
            <w:r w:rsidRPr="00070AF3">
              <w:t>AP30B administrations approval</w:t>
            </w:r>
          </w:p>
          <w:p w:rsidR="00BD593F" w:rsidRPr="00070AF3" w:rsidRDefault="00BD593F" w:rsidP="00BD593F">
            <w:pPr>
              <w:pStyle w:val="a8"/>
              <w:numPr>
                <w:ilvl w:val="0"/>
                <w:numId w:val="18"/>
              </w:numPr>
              <w:spacing w:after="200" w:line="276" w:lineRule="auto"/>
            </w:pPr>
            <w:r w:rsidRPr="00070AF3">
              <w:lastRenderedPageBreak/>
              <w:t>AP 30B affected administrations</w:t>
            </w:r>
          </w:p>
          <w:p w:rsidR="00A749D2" w:rsidRPr="00BD593F" w:rsidRDefault="00BD593F" w:rsidP="00BA0398">
            <w:pPr>
              <w:rPr>
                <w:rFonts w:eastAsiaTheme="minorEastAsia"/>
                <w:lang w:eastAsia="zh-CN"/>
              </w:rPr>
            </w:pPr>
            <w:r>
              <w:t>Category 5 – Other issues from Doc 4</w:t>
            </w:r>
          </w:p>
          <w:p w:rsidR="00A3646C" w:rsidRDefault="00BD593F" w:rsidP="00907F9F">
            <w:pPr>
              <w:spacing w:beforeLines="50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Based on discussions, </w:t>
            </w:r>
            <w:r w:rsidR="00A3646C">
              <w:rPr>
                <w:rFonts w:eastAsiaTheme="minorEastAsia" w:hint="eastAsia"/>
                <w:lang w:eastAsia="zh-CN"/>
              </w:rPr>
              <w:t>the following</w:t>
            </w:r>
            <w:r w:rsidR="0082076F">
              <w:rPr>
                <w:rFonts w:eastAsiaTheme="minorEastAsia" w:hint="eastAsia"/>
                <w:lang w:eastAsia="zh-CN"/>
              </w:rPr>
              <w:t xml:space="preserve"> points</w:t>
            </w:r>
            <w:r w:rsidR="00A3646C">
              <w:rPr>
                <w:rFonts w:eastAsiaTheme="minorEastAsia" w:hint="eastAsia"/>
                <w:lang w:eastAsia="zh-CN"/>
              </w:rPr>
              <w:t xml:space="preserve"> should be highlighted:</w:t>
            </w:r>
          </w:p>
          <w:p w:rsidR="00A749D2" w:rsidRDefault="00A3646C" w:rsidP="00A3646C">
            <w:pPr>
              <w:pStyle w:val="a8"/>
              <w:numPr>
                <w:ilvl w:val="0"/>
                <w:numId w:val="19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 w:rsidR="00BD593F" w:rsidRPr="00A3646C">
              <w:rPr>
                <w:rFonts w:eastAsiaTheme="minorEastAsia" w:hint="eastAsia"/>
                <w:lang w:eastAsia="zh-CN"/>
              </w:rPr>
              <w:t>he meeting reached the consensus on the issues in C</w:t>
            </w:r>
            <w:r w:rsidR="00BD593F" w:rsidRPr="00A3646C">
              <w:rPr>
                <w:rFonts w:eastAsiaTheme="minorEastAsia"/>
                <w:lang w:eastAsia="zh-CN"/>
              </w:rPr>
              <w:t>a</w:t>
            </w:r>
            <w:r w:rsidR="00BD593F" w:rsidRPr="00A3646C">
              <w:rPr>
                <w:rFonts w:eastAsiaTheme="minorEastAsia" w:hint="eastAsia"/>
                <w:lang w:eastAsia="zh-CN"/>
              </w:rPr>
              <w:t>tegory 1 where the APT common proposals are met</w:t>
            </w:r>
            <w:r>
              <w:rPr>
                <w:rFonts w:eastAsiaTheme="minorEastAsia" w:hint="eastAsia"/>
                <w:lang w:eastAsia="zh-CN"/>
              </w:rPr>
              <w:t xml:space="preserve"> accordingly;</w:t>
            </w:r>
          </w:p>
          <w:p w:rsidR="00A3646C" w:rsidRDefault="00A3646C" w:rsidP="0082076F">
            <w:pPr>
              <w:pStyle w:val="a8"/>
              <w:numPr>
                <w:ilvl w:val="0"/>
                <w:numId w:val="19"/>
              </w:num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For issues in Category 2, </w:t>
            </w:r>
            <w:r w:rsidR="00D209C5">
              <w:rPr>
                <w:rFonts w:eastAsiaTheme="minorEastAsia" w:hint="eastAsia"/>
                <w:lang w:eastAsia="zh-CN"/>
              </w:rPr>
              <w:t>two drafting groups we</w:t>
            </w:r>
            <w:r w:rsidR="002C14F3">
              <w:rPr>
                <w:rFonts w:eastAsiaTheme="minorEastAsia" w:hint="eastAsia"/>
                <w:lang w:eastAsia="zh-CN"/>
              </w:rPr>
              <w:t xml:space="preserve">re set up for the issues 1D, 2E, </w:t>
            </w:r>
            <w:r w:rsidR="00D209C5">
              <w:rPr>
                <w:rFonts w:eastAsiaTheme="minorEastAsia" w:hint="eastAsia"/>
                <w:lang w:eastAsia="zh-CN"/>
              </w:rPr>
              <w:t xml:space="preserve">and the issue 6A. So far no agreement is reached in the Drafting Group 1 on the issues 1D and 2E, and the drafting work would still need </w:t>
            </w:r>
            <w:r w:rsidR="0082076F">
              <w:rPr>
                <w:rFonts w:eastAsiaTheme="minorEastAsia" w:hint="eastAsia"/>
                <w:lang w:eastAsia="zh-CN"/>
              </w:rPr>
              <w:t>more discussions</w:t>
            </w:r>
            <w:r w:rsidR="00D209C5">
              <w:rPr>
                <w:rFonts w:eastAsiaTheme="minorEastAsia" w:hint="eastAsia"/>
                <w:lang w:eastAsia="zh-CN"/>
              </w:rPr>
              <w:t xml:space="preserve"> </w:t>
            </w:r>
            <w:r w:rsidR="00105692">
              <w:rPr>
                <w:rFonts w:eastAsiaTheme="minorEastAsia" w:hint="eastAsia"/>
                <w:lang w:eastAsia="zh-CN"/>
              </w:rPr>
              <w:t>in</w:t>
            </w:r>
            <w:r w:rsidR="00D209C5">
              <w:rPr>
                <w:rFonts w:eastAsiaTheme="minorEastAsia" w:hint="eastAsia"/>
                <w:lang w:eastAsia="zh-CN"/>
              </w:rPr>
              <w:t xml:space="preserve"> Monday </w:t>
            </w:r>
            <w:r w:rsidR="0082076F">
              <w:rPr>
                <w:rFonts w:eastAsiaTheme="minorEastAsia" w:hint="eastAsia"/>
                <w:lang w:eastAsia="zh-CN"/>
              </w:rPr>
              <w:t xml:space="preserve">afternoon </w:t>
            </w:r>
            <w:r w:rsidR="00D209C5">
              <w:rPr>
                <w:rFonts w:eastAsiaTheme="minorEastAsia" w:hint="eastAsia"/>
                <w:lang w:eastAsia="zh-CN"/>
              </w:rPr>
              <w:t>Session. C</w:t>
            </w:r>
            <w:r w:rsidR="0082076F">
              <w:rPr>
                <w:rFonts w:eastAsiaTheme="minorEastAsia" w:hint="eastAsia"/>
                <w:lang w:eastAsia="zh-CN"/>
              </w:rPr>
              <w:t xml:space="preserve">omments were also </w:t>
            </w:r>
            <w:r w:rsidR="00D209C5">
              <w:rPr>
                <w:rFonts w:eastAsiaTheme="minorEastAsia" w:hint="eastAsia"/>
                <w:lang w:eastAsia="zh-CN"/>
              </w:rPr>
              <w:t xml:space="preserve">made by APT </w:t>
            </w:r>
            <w:r w:rsidR="0082076F">
              <w:rPr>
                <w:rFonts w:eastAsiaTheme="minorEastAsia" w:hint="eastAsia"/>
                <w:lang w:eastAsia="zh-CN"/>
              </w:rPr>
              <w:t xml:space="preserve">country </w:t>
            </w:r>
            <w:r w:rsidR="00D209C5">
              <w:rPr>
                <w:rFonts w:eastAsiaTheme="minorEastAsia" w:hint="eastAsia"/>
                <w:lang w:eastAsia="zh-CN"/>
              </w:rPr>
              <w:t xml:space="preserve">on </w:t>
            </w:r>
            <w:r w:rsidR="00105692">
              <w:rPr>
                <w:rFonts w:eastAsiaTheme="minorEastAsia" w:hint="eastAsia"/>
                <w:lang w:eastAsia="zh-CN"/>
              </w:rPr>
              <w:t xml:space="preserve">both the </w:t>
            </w:r>
            <w:r w:rsidR="0082076F">
              <w:rPr>
                <w:rFonts w:eastAsiaTheme="minorEastAsia" w:hint="eastAsia"/>
                <w:lang w:eastAsia="zh-CN"/>
              </w:rPr>
              <w:t xml:space="preserve">opening the discussion and </w:t>
            </w:r>
            <w:r w:rsidR="00105692">
              <w:rPr>
                <w:rFonts w:eastAsiaTheme="minorEastAsia" w:hint="eastAsia"/>
                <w:lang w:eastAsia="zh-CN"/>
              </w:rPr>
              <w:t>reaching</w:t>
            </w:r>
            <w:r w:rsidR="0082076F">
              <w:rPr>
                <w:rFonts w:eastAsiaTheme="minorEastAsia" w:hint="eastAsia"/>
                <w:lang w:eastAsia="zh-CN"/>
              </w:rPr>
              <w:t xml:space="preserve"> the conclusion </w:t>
            </w:r>
            <w:r w:rsidR="00D209C5">
              <w:rPr>
                <w:rFonts w:eastAsiaTheme="minorEastAsia" w:hint="eastAsia"/>
                <w:lang w:eastAsia="zh-CN"/>
              </w:rPr>
              <w:t>on the issue 4E</w:t>
            </w:r>
            <w:r w:rsidR="0082076F">
              <w:rPr>
                <w:rFonts w:eastAsiaTheme="minorEastAsia" w:hint="eastAsia"/>
                <w:lang w:eastAsia="zh-CN"/>
              </w:rPr>
              <w:t xml:space="preserve"> about the </w:t>
            </w:r>
            <w:r w:rsidR="0082076F">
              <w:rPr>
                <w:rFonts w:eastAsiaTheme="minorEastAsia"/>
                <w:lang w:eastAsia="zh-CN"/>
              </w:rPr>
              <w:t>extension</w:t>
            </w:r>
            <w:r w:rsidR="0082076F" w:rsidRPr="0082076F">
              <w:rPr>
                <w:rFonts w:eastAsiaTheme="minorEastAsia"/>
                <w:lang w:eastAsia="zh-CN"/>
              </w:rPr>
              <w:t xml:space="preserve"> of the regulatory time-limit for</w:t>
            </w:r>
            <w:r w:rsidR="0082076F">
              <w:rPr>
                <w:rFonts w:eastAsiaTheme="minorEastAsia" w:hint="eastAsia"/>
                <w:lang w:eastAsia="zh-CN"/>
              </w:rPr>
              <w:t xml:space="preserve"> </w:t>
            </w:r>
            <w:r w:rsidR="0082076F" w:rsidRPr="0082076F">
              <w:rPr>
                <w:rFonts w:eastAsiaTheme="minorEastAsia"/>
                <w:lang w:eastAsia="zh-CN"/>
              </w:rPr>
              <w:t>bringing into use assignments in accordance with Appendix 30B due to launch failures</w:t>
            </w:r>
            <w:r w:rsidR="002C14F3">
              <w:rPr>
                <w:rFonts w:eastAsiaTheme="minorEastAsia" w:hint="eastAsia"/>
                <w:lang w:eastAsia="zh-CN"/>
              </w:rPr>
              <w:t>;</w:t>
            </w:r>
          </w:p>
          <w:p w:rsidR="002C14F3" w:rsidRDefault="00105692" w:rsidP="00105692">
            <w:pPr>
              <w:pStyle w:val="a8"/>
              <w:numPr>
                <w:ilvl w:val="0"/>
                <w:numId w:val="19"/>
              </w:num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Concerning No. 21.16 pfd check, Drafting Group 1 also discussed the CAN proposal </w:t>
            </w:r>
            <w:r w:rsidR="00240990">
              <w:rPr>
                <w:rFonts w:eastAsiaTheme="minorEastAsia" w:hint="eastAsia"/>
                <w:lang w:eastAsia="zh-CN"/>
              </w:rPr>
              <w:t>(</w:t>
            </w:r>
            <w:r w:rsidR="00240990">
              <w:rPr>
                <w:rFonts w:eastAsiaTheme="minorEastAsia"/>
                <w:lang w:eastAsia="zh-CN"/>
              </w:rPr>
              <w:t>MOD</w:t>
            </w:r>
            <w:r w:rsidR="00240990">
              <w:rPr>
                <w:rFonts w:eastAsiaTheme="minorEastAsia" w:hint="eastAsia"/>
                <w:lang w:eastAsia="zh-CN"/>
              </w:rPr>
              <w:t xml:space="preserve"> </w:t>
            </w:r>
            <w:r w:rsidR="00240990" w:rsidRPr="00240990">
              <w:rPr>
                <w:rFonts w:eastAsiaTheme="minorEastAsia"/>
                <w:lang w:eastAsia="zh-CN"/>
              </w:rPr>
              <w:t>CAN/7A3/40</w:t>
            </w:r>
            <w:r w:rsidR="00240990">
              <w:rPr>
                <w:rFonts w:eastAsiaTheme="minorEastAsia" w:hint="eastAsia"/>
                <w:lang w:eastAsia="zh-CN"/>
              </w:rPr>
              <w:t xml:space="preserve">) </w:t>
            </w:r>
            <w:r>
              <w:rPr>
                <w:rFonts w:eastAsiaTheme="minorEastAsia" w:hint="eastAsia"/>
                <w:lang w:eastAsia="zh-CN"/>
              </w:rPr>
              <w:t>on the possible transfer of the essence of the relevant RoP into the RR. By offline discussion</w:t>
            </w:r>
            <w:r w:rsidR="00240990">
              <w:rPr>
                <w:rFonts w:eastAsiaTheme="minorEastAsia" w:hint="eastAsia"/>
                <w:lang w:eastAsia="zh-CN"/>
              </w:rPr>
              <w:t xml:space="preserve"> the transfer </w:t>
            </w:r>
            <w:r w:rsidR="00155CC8">
              <w:rPr>
                <w:rFonts w:eastAsiaTheme="minorEastAsia" w:hint="eastAsia"/>
                <w:lang w:eastAsia="zh-CN"/>
              </w:rPr>
              <w:t xml:space="preserve">of the essence </w:t>
            </w:r>
            <w:r w:rsidR="00240990">
              <w:rPr>
                <w:rFonts w:eastAsiaTheme="minorEastAsia" w:hint="eastAsia"/>
                <w:lang w:eastAsia="zh-CN"/>
              </w:rPr>
              <w:t>may be possible.</w:t>
            </w:r>
            <w:r>
              <w:rPr>
                <w:rFonts w:eastAsiaTheme="minorEastAsia" w:hint="eastAsia"/>
                <w:lang w:eastAsia="zh-CN"/>
              </w:rPr>
              <w:t xml:space="preserve">  </w:t>
            </w:r>
          </w:p>
          <w:p w:rsidR="00907F9F" w:rsidRDefault="00907F9F" w:rsidP="00105692">
            <w:pPr>
              <w:pStyle w:val="a8"/>
              <w:numPr>
                <w:ilvl w:val="0"/>
                <w:numId w:val="19"/>
              </w:numPr>
              <w:rPr>
                <w:rFonts w:eastAsiaTheme="minorEastAsia" w:hint="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M</w:t>
            </w:r>
            <w:r>
              <w:rPr>
                <w:rFonts w:eastAsiaTheme="minorEastAsia" w:hint="eastAsia"/>
                <w:lang w:eastAsia="zh-CN"/>
              </w:rPr>
              <w:t>ost of other issues are still in the discussion process, but no final results are concluded.</w:t>
            </w:r>
          </w:p>
          <w:p w:rsidR="00907F9F" w:rsidRPr="0082076F" w:rsidRDefault="00907F9F" w:rsidP="00907F9F">
            <w:pPr>
              <w:pStyle w:val="a8"/>
              <w:ind w:left="360"/>
              <w:rPr>
                <w:rFonts w:eastAsiaTheme="minorEastAsia"/>
                <w:lang w:eastAsia="zh-CN"/>
              </w:rPr>
            </w:pPr>
          </w:p>
        </w:tc>
      </w:tr>
      <w:tr w:rsidR="00A749D2" w:rsidTr="00BA0398">
        <w:tc>
          <w:tcPr>
            <w:tcW w:w="9242" w:type="dxa"/>
          </w:tcPr>
          <w:p w:rsidR="00D312F7" w:rsidRPr="00D312F7" w:rsidRDefault="00A749D2" w:rsidP="00BA0398">
            <w:pPr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lastRenderedPageBreak/>
              <w:t>Issues to be discussed at the Coordination Meeting:</w:t>
            </w:r>
          </w:p>
          <w:p w:rsidR="00A749D2" w:rsidRPr="002E6441" w:rsidRDefault="000B535C" w:rsidP="00907F9F">
            <w:pPr>
              <w:pStyle w:val="a8"/>
              <w:numPr>
                <w:ilvl w:val="0"/>
                <w:numId w:val="21"/>
              </w:numPr>
              <w:rPr>
                <w:rFonts w:eastAsiaTheme="minorEastAsia" w:hint="eastAsia"/>
                <w:bCs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Because of the sensitive nature and difficulties in the satellite procedure issues, different views are expressed in the discussions. We assume the compromise would have to be pursued. </w:t>
            </w:r>
            <w:r w:rsidR="002E6441">
              <w:rPr>
                <w:rFonts w:eastAsiaTheme="minorEastAsia" w:hint="eastAsia"/>
                <w:lang w:eastAsia="zh-CN"/>
              </w:rPr>
              <w:t>In this respect and as a</w:t>
            </w:r>
            <w:r>
              <w:rPr>
                <w:rFonts w:eastAsiaTheme="minorEastAsia" w:hint="eastAsia"/>
                <w:lang w:eastAsia="zh-CN"/>
              </w:rPr>
              <w:t xml:space="preserve"> coordinator</w:t>
            </w:r>
            <w:r w:rsidR="002E6441">
              <w:rPr>
                <w:rFonts w:eastAsiaTheme="minorEastAsia" w:hint="eastAsia"/>
                <w:lang w:eastAsia="zh-CN"/>
              </w:rPr>
              <w:t xml:space="preserve"> under</w:t>
            </w:r>
            <w:r>
              <w:rPr>
                <w:rFonts w:eastAsiaTheme="minorEastAsia" w:hint="eastAsia"/>
                <w:lang w:eastAsia="zh-CN"/>
              </w:rPr>
              <w:t xml:space="preserve"> AI 7, I need the guidance </w:t>
            </w:r>
            <w:r w:rsidR="002E6441">
              <w:rPr>
                <w:rFonts w:eastAsiaTheme="minorEastAsia" w:hint="eastAsia"/>
                <w:lang w:eastAsia="zh-CN"/>
              </w:rPr>
              <w:t>in this aspect</w:t>
            </w:r>
            <w:r w:rsidR="00E71BEE">
              <w:rPr>
                <w:rFonts w:eastAsiaTheme="minorEastAsia" w:hint="eastAsia"/>
                <w:lang w:eastAsia="zh-CN"/>
              </w:rPr>
              <w:t>, i.e. if I can or how to modify our Common Proposal appropriately</w:t>
            </w:r>
            <w:r w:rsidR="002E6441">
              <w:rPr>
                <w:rFonts w:eastAsiaTheme="minorEastAsia" w:hint="eastAsia"/>
                <w:lang w:eastAsia="zh-CN"/>
              </w:rPr>
              <w:t>.</w:t>
            </w:r>
          </w:p>
          <w:p w:rsidR="002E6441" w:rsidRPr="00907F9F" w:rsidRDefault="002E6441" w:rsidP="00907F9F">
            <w:pPr>
              <w:pStyle w:val="a8"/>
              <w:numPr>
                <w:ilvl w:val="0"/>
                <w:numId w:val="21"/>
              </w:numPr>
              <w:rPr>
                <w:rFonts w:eastAsiaTheme="minorEastAsia"/>
                <w:bCs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Concerning the complex issue 4B, no APT </w:t>
            </w:r>
            <w:r w:rsidR="00E71BEE">
              <w:rPr>
                <w:rFonts w:eastAsiaTheme="minorEastAsia" w:hint="eastAsia"/>
                <w:lang w:eastAsia="zh-CN"/>
              </w:rPr>
              <w:t>C</w:t>
            </w:r>
            <w:r>
              <w:rPr>
                <w:rFonts w:eastAsiaTheme="minorEastAsia"/>
                <w:lang w:eastAsia="zh-CN"/>
              </w:rPr>
              <w:t>ommon</w:t>
            </w:r>
            <w:r>
              <w:rPr>
                <w:rFonts w:eastAsiaTheme="minorEastAsia" w:hint="eastAsia"/>
                <w:lang w:eastAsia="zh-CN"/>
              </w:rPr>
              <w:t xml:space="preserve"> </w:t>
            </w:r>
            <w:r w:rsidR="00E71BEE">
              <w:rPr>
                <w:rFonts w:eastAsiaTheme="minorEastAsia" w:hint="eastAsia"/>
                <w:lang w:eastAsia="zh-CN"/>
              </w:rPr>
              <w:t>P</w:t>
            </w:r>
            <w:r>
              <w:rPr>
                <w:rFonts w:eastAsiaTheme="minorEastAsia" w:hint="eastAsia"/>
                <w:lang w:eastAsia="zh-CN"/>
              </w:rPr>
              <w:t>roposal was reached. APT should pay much attention on this issue</w:t>
            </w:r>
            <w:r w:rsidR="00E71BEE">
              <w:rPr>
                <w:rFonts w:eastAsiaTheme="minorEastAsia" w:hint="eastAsia"/>
                <w:lang w:eastAsia="zh-CN"/>
              </w:rPr>
              <w:t>, such as if and how to define the minimum period</w:t>
            </w:r>
            <w:r>
              <w:rPr>
                <w:rFonts w:eastAsiaTheme="minorEastAsia" w:hint="eastAsia"/>
                <w:lang w:eastAsia="zh-CN"/>
              </w:rPr>
              <w:t xml:space="preserve">. </w:t>
            </w:r>
          </w:p>
          <w:p w:rsidR="00D312F7" w:rsidRPr="00D312F7" w:rsidRDefault="00D312F7" w:rsidP="00D312F7">
            <w:pPr>
              <w:rPr>
                <w:rFonts w:eastAsiaTheme="minorEastAsia"/>
                <w:b/>
                <w:bCs/>
                <w:lang w:eastAsia="zh-CN"/>
              </w:rPr>
            </w:pPr>
          </w:p>
        </w:tc>
      </w:tr>
      <w:tr w:rsidR="00A749D2" w:rsidTr="00BA0398">
        <w:tc>
          <w:tcPr>
            <w:tcW w:w="9242" w:type="dxa"/>
          </w:tcPr>
          <w:p w:rsidR="00A749D2" w:rsidRDefault="00A749D2" w:rsidP="00BA0398">
            <w:r w:rsidRPr="00AE27E9">
              <w:rPr>
                <w:b/>
                <w:bCs/>
              </w:rPr>
              <w:t>Comments/Remarks by the Coordinator</w:t>
            </w:r>
            <w:r>
              <w:t>:</w:t>
            </w:r>
          </w:p>
          <w:p w:rsidR="00A749D2" w:rsidRDefault="00A749D2" w:rsidP="00BA0398"/>
          <w:p w:rsidR="00A749D2" w:rsidRPr="0082296B" w:rsidRDefault="0082296B" w:rsidP="00BA039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No specific comments/remarks</w:t>
            </w:r>
          </w:p>
          <w:p w:rsidR="00A749D2" w:rsidRPr="00AE27E9" w:rsidRDefault="00A749D2" w:rsidP="00BA0398"/>
        </w:tc>
      </w:tr>
    </w:tbl>
    <w:p w:rsidR="00876DE9" w:rsidRPr="00D312F7" w:rsidRDefault="00876DE9" w:rsidP="0092750B">
      <w:pPr>
        <w:jc w:val="both"/>
        <w:rPr>
          <w:rFonts w:eastAsiaTheme="minorEastAsia"/>
          <w:snapToGrid w:val="0"/>
          <w:lang w:eastAsia="zh-CN"/>
        </w:rPr>
      </w:pPr>
    </w:p>
    <w:sectPr w:rsidR="00876DE9" w:rsidRPr="00D312F7" w:rsidSect="00DB0A68">
      <w:headerReference w:type="default" r:id="rId9"/>
      <w:footerReference w:type="even" r:id="rId10"/>
      <w:footerReference w:type="default" r:id="rId11"/>
      <w:footerReference w:type="first" r:id="rId12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37" w:rsidRDefault="00C62C37">
      <w:r>
        <w:separator/>
      </w:r>
    </w:p>
  </w:endnote>
  <w:endnote w:type="continuationSeparator" w:id="1">
    <w:p w:rsidR="00C62C37" w:rsidRDefault="00C62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31DF4" w:rsidP="002C0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7693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693B" w:rsidRDefault="0097693B" w:rsidP="00DB0A6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2C7EA9" w:rsidP="002C7EA9">
    <w:pPr>
      <w:pStyle w:val="a3"/>
      <w:ind w:right="360"/>
      <w:jc w:val="right"/>
    </w:pPr>
    <w:r w:rsidRPr="002C7EA9">
      <w:rPr>
        <w:rStyle w:val="a5"/>
      </w:rPr>
      <w:t xml:space="preserve">Page </w:t>
    </w:r>
    <w:r w:rsidR="00931DF4" w:rsidRPr="002C7EA9">
      <w:rPr>
        <w:rStyle w:val="a5"/>
      </w:rPr>
      <w:fldChar w:fldCharType="begin"/>
    </w:r>
    <w:r w:rsidRPr="002C7EA9">
      <w:rPr>
        <w:rStyle w:val="a5"/>
      </w:rPr>
      <w:instrText xml:space="preserve"> PAGE </w:instrText>
    </w:r>
    <w:r w:rsidR="00931DF4" w:rsidRPr="002C7EA9">
      <w:rPr>
        <w:rStyle w:val="a5"/>
      </w:rPr>
      <w:fldChar w:fldCharType="separate"/>
    </w:r>
    <w:r w:rsidR="00E71BEE">
      <w:rPr>
        <w:rStyle w:val="a5"/>
        <w:noProof/>
      </w:rPr>
      <w:t>2</w:t>
    </w:r>
    <w:r w:rsidR="00931DF4" w:rsidRPr="002C7EA9">
      <w:rPr>
        <w:rStyle w:val="a5"/>
      </w:rPr>
      <w:fldChar w:fldCharType="end"/>
    </w:r>
    <w:r w:rsidRPr="002C7EA9">
      <w:rPr>
        <w:rStyle w:val="a5"/>
      </w:rPr>
      <w:t xml:space="preserve"> of </w:t>
    </w:r>
    <w:r w:rsidR="00931DF4" w:rsidRPr="002C7EA9">
      <w:rPr>
        <w:rStyle w:val="a5"/>
      </w:rPr>
      <w:fldChar w:fldCharType="begin"/>
    </w:r>
    <w:r w:rsidRPr="002C7EA9">
      <w:rPr>
        <w:rStyle w:val="a5"/>
      </w:rPr>
      <w:instrText xml:space="preserve"> NUMPAGES </w:instrText>
    </w:r>
    <w:r w:rsidR="00931DF4" w:rsidRPr="002C7EA9">
      <w:rPr>
        <w:rStyle w:val="a5"/>
      </w:rPr>
      <w:fldChar w:fldCharType="separate"/>
    </w:r>
    <w:r w:rsidR="00E71BEE">
      <w:rPr>
        <w:rStyle w:val="a5"/>
        <w:noProof/>
      </w:rPr>
      <w:t>2</w:t>
    </w:r>
    <w:r w:rsidR="00931DF4" w:rsidRPr="002C7EA9">
      <w:rPr>
        <w:rStyle w:val="a5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Pr="000C1AE6" w:rsidRDefault="000C1AE6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Theme="minorEastAsia"/>
              <w:lang w:eastAsia="zh-CN"/>
            </w:rPr>
          </w:pPr>
          <w:r>
            <w:rPr>
              <w:rFonts w:eastAsiaTheme="minorEastAsia" w:hint="eastAsia"/>
              <w:lang w:eastAsia="zh-CN"/>
            </w:rPr>
            <w:t>GAO Xiaoyang,  CHINA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Pr="000C1AE6" w:rsidRDefault="0097693B" w:rsidP="00634E57">
          <w:pPr>
            <w:rPr>
              <w:rFonts w:eastAsiaTheme="minorEastAsia"/>
              <w:lang w:eastAsia="zh-CN"/>
            </w:rPr>
          </w:pPr>
          <w:r>
            <w:t>Email</w:t>
          </w:r>
          <w:r>
            <w:rPr>
              <w:rFonts w:hint="eastAsia"/>
            </w:rPr>
            <w:t xml:space="preserve">: </w:t>
          </w:r>
          <w:r w:rsidR="000C1AE6">
            <w:rPr>
              <w:rFonts w:eastAsiaTheme="minorEastAsia" w:hint="eastAsia"/>
              <w:lang w:eastAsia="zh-CN"/>
            </w:rPr>
            <w:t>gaoxiaoyang@chinasatcom.com</w:t>
          </w:r>
        </w:p>
      </w:tc>
    </w:tr>
  </w:tbl>
  <w:p w:rsidR="0097693B" w:rsidRDefault="0097693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37" w:rsidRDefault="00C62C37">
      <w:r>
        <w:separator/>
      </w:r>
    </w:p>
  </w:footnote>
  <w:footnote w:type="continuationSeparator" w:id="1">
    <w:p w:rsidR="00C62C37" w:rsidRDefault="00C62C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a7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a7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2B46602C"/>
    <w:multiLevelType w:val="hybridMultilevel"/>
    <w:tmpl w:val="884EB158"/>
    <w:lvl w:ilvl="0" w:tplc="AA225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8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38F30D8B"/>
    <w:multiLevelType w:val="hybridMultilevel"/>
    <w:tmpl w:val="625E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54B78"/>
    <w:multiLevelType w:val="hybridMultilevel"/>
    <w:tmpl w:val="B12EBADE"/>
    <w:lvl w:ilvl="0" w:tplc="004803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F31F59"/>
    <w:multiLevelType w:val="hybridMultilevel"/>
    <w:tmpl w:val="E09C50E4"/>
    <w:lvl w:ilvl="0" w:tplc="8BE2E3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738E5BB6"/>
    <w:multiLevelType w:val="hybridMultilevel"/>
    <w:tmpl w:val="42426A7C"/>
    <w:lvl w:ilvl="0" w:tplc="01708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9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5"/>
  </w:num>
  <w:num w:numId="12">
    <w:abstractNumId w:val="18"/>
  </w:num>
  <w:num w:numId="13">
    <w:abstractNumId w:val="15"/>
  </w:num>
  <w:num w:numId="14">
    <w:abstractNumId w:val="13"/>
  </w:num>
  <w:num w:numId="15">
    <w:abstractNumId w:val="12"/>
  </w:num>
  <w:num w:numId="16">
    <w:abstractNumId w:val="16"/>
  </w:num>
  <w:num w:numId="17">
    <w:abstractNumId w:val="4"/>
  </w:num>
  <w:num w:numId="18">
    <w:abstractNumId w:val="10"/>
  </w:num>
  <w:num w:numId="19">
    <w:abstractNumId w:val="14"/>
  </w:num>
  <w:num w:numId="20">
    <w:abstractNumId w:val="17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A749D2"/>
    <w:rsid w:val="000323E9"/>
    <w:rsid w:val="0003595B"/>
    <w:rsid w:val="000713CF"/>
    <w:rsid w:val="00081555"/>
    <w:rsid w:val="00086912"/>
    <w:rsid w:val="0009175E"/>
    <w:rsid w:val="000A0654"/>
    <w:rsid w:val="000A5418"/>
    <w:rsid w:val="000A7791"/>
    <w:rsid w:val="000B535C"/>
    <w:rsid w:val="000C1AE6"/>
    <w:rsid w:val="000F517C"/>
    <w:rsid w:val="000F5540"/>
    <w:rsid w:val="000F5E6F"/>
    <w:rsid w:val="00105692"/>
    <w:rsid w:val="001539DD"/>
    <w:rsid w:val="00155CC8"/>
    <w:rsid w:val="0015661F"/>
    <w:rsid w:val="0016744F"/>
    <w:rsid w:val="0018046B"/>
    <w:rsid w:val="00196568"/>
    <w:rsid w:val="001A2F16"/>
    <w:rsid w:val="001A66F4"/>
    <w:rsid w:val="001B18C2"/>
    <w:rsid w:val="001D5D7E"/>
    <w:rsid w:val="00231AB1"/>
    <w:rsid w:val="00240990"/>
    <w:rsid w:val="00243F10"/>
    <w:rsid w:val="00244791"/>
    <w:rsid w:val="00254A1B"/>
    <w:rsid w:val="00261869"/>
    <w:rsid w:val="0028454D"/>
    <w:rsid w:val="00291C9E"/>
    <w:rsid w:val="002926D4"/>
    <w:rsid w:val="002945C9"/>
    <w:rsid w:val="002B670F"/>
    <w:rsid w:val="002C07DA"/>
    <w:rsid w:val="002C14F3"/>
    <w:rsid w:val="002C7EA9"/>
    <w:rsid w:val="002E4D53"/>
    <w:rsid w:val="002E6441"/>
    <w:rsid w:val="0030452E"/>
    <w:rsid w:val="00342F20"/>
    <w:rsid w:val="003574EB"/>
    <w:rsid w:val="00357BDF"/>
    <w:rsid w:val="00374E6B"/>
    <w:rsid w:val="003809C7"/>
    <w:rsid w:val="00382D6D"/>
    <w:rsid w:val="003835D6"/>
    <w:rsid w:val="00397701"/>
    <w:rsid w:val="003B6263"/>
    <w:rsid w:val="003C64A7"/>
    <w:rsid w:val="003D3FDA"/>
    <w:rsid w:val="003F205D"/>
    <w:rsid w:val="003F2C43"/>
    <w:rsid w:val="00404DA3"/>
    <w:rsid w:val="00420822"/>
    <w:rsid w:val="00422124"/>
    <w:rsid w:val="004422DF"/>
    <w:rsid w:val="0045458F"/>
    <w:rsid w:val="004633B4"/>
    <w:rsid w:val="004B3553"/>
    <w:rsid w:val="004C4A45"/>
    <w:rsid w:val="004C52B1"/>
    <w:rsid w:val="004D3635"/>
    <w:rsid w:val="004E441E"/>
    <w:rsid w:val="004F3B0C"/>
    <w:rsid w:val="005050DA"/>
    <w:rsid w:val="00517E60"/>
    <w:rsid w:val="00530E8C"/>
    <w:rsid w:val="00545933"/>
    <w:rsid w:val="00557544"/>
    <w:rsid w:val="0057481F"/>
    <w:rsid w:val="00587875"/>
    <w:rsid w:val="005B4FBC"/>
    <w:rsid w:val="005C2C13"/>
    <w:rsid w:val="00607E2B"/>
    <w:rsid w:val="00623CE1"/>
    <w:rsid w:val="00626923"/>
    <w:rsid w:val="0063062B"/>
    <w:rsid w:val="00634E57"/>
    <w:rsid w:val="00652D71"/>
    <w:rsid w:val="00667229"/>
    <w:rsid w:val="00682BE5"/>
    <w:rsid w:val="00690FED"/>
    <w:rsid w:val="006939A5"/>
    <w:rsid w:val="006A029F"/>
    <w:rsid w:val="006A3691"/>
    <w:rsid w:val="006F5792"/>
    <w:rsid w:val="00712451"/>
    <w:rsid w:val="007268D5"/>
    <w:rsid w:val="00732F08"/>
    <w:rsid w:val="0074190C"/>
    <w:rsid w:val="0074726E"/>
    <w:rsid w:val="00762576"/>
    <w:rsid w:val="00791060"/>
    <w:rsid w:val="007B5626"/>
    <w:rsid w:val="007C7205"/>
    <w:rsid w:val="007E4AD4"/>
    <w:rsid w:val="007F3AC5"/>
    <w:rsid w:val="0080570B"/>
    <w:rsid w:val="008148E1"/>
    <w:rsid w:val="0082076F"/>
    <w:rsid w:val="0082296B"/>
    <w:rsid w:val="008319BF"/>
    <w:rsid w:val="00860180"/>
    <w:rsid w:val="00864918"/>
    <w:rsid w:val="0087451E"/>
    <w:rsid w:val="00876DE9"/>
    <w:rsid w:val="00883A99"/>
    <w:rsid w:val="008C7F63"/>
    <w:rsid w:val="008D0E09"/>
    <w:rsid w:val="008E0B2B"/>
    <w:rsid w:val="00907F9F"/>
    <w:rsid w:val="0092750B"/>
    <w:rsid w:val="009306A6"/>
    <w:rsid w:val="00931DF4"/>
    <w:rsid w:val="00941BD9"/>
    <w:rsid w:val="00965852"/>
    <w:rsid w:val="0097693B"/>
    <w:rsid w:val="00993355"/>
    <w:rsid w:val="009A4A6D"/>
    <w:rsid w:val="00A13265"/>
    <w:rsid w:val="00A35C8B"/>
    <w:rsid w:val="00A35DBC"/>
    <w:rsid w:val="00A3646C"/>
    <w:rsid w:val="00A71136"/>
    <w:rsid w:val="00A749D2"/>
    <w:rsid w:val="00A97FB5"/>
    <w:rsid w:val="00AA474C"/>
    <w:rsid w:val="00AA669C"/>
    <w:rsid w:val="00AB6878"/>
    <w:rsid w:val="00AD7E5F"/>
    <w:rsid w:val="00B01AA1"/>
    <w:rsid w:val="00B05A09"/>
    <w:rsid w:val="00B239BA"/>
    <w:rsid w:val="00B30C81"/>
    <w:rsid w:val="00B4793B"/>
    <w:rsid w:val="00B74C98"/>
    <w:rsid w:val="00B95AC7"/>
    <w:rsid w:val="00BC727F"/>
    <w:rsid w:val="00BD593F"/>
    <w:rsid w:val="00BD7E80"/>
    <w:rsid w:val="00BE089B"/>
    <w:rsid w:val="00BE13C5"/>
    <w:rsid w:val="00BE3A2C"/>
    <w:rsid w:val="00C06091"/>
    <w:rsid w:val="00C15633"/>
    <w:rsid w:val="00C15799"/>
    <w:rsid w:val="00C357AD"/>
    <w:rsid w:val="00C3598A"/>
    <w:rsid w:val="00C6069C"/>
    <w:rsid w:val="00C62C37"/>
    <w:rsid w:val="00C64EBE"/>
    <w:rsid w:val="00CD1E58"/>
    <w:rsid w:val="00CD3F5D"/>
    <w:rsid w:val="00CD5431"/>
    <w:rsid w:val="00CD7AAF"/>
    <w:rsid w:val="00CF2491"/>
    <w:rsid w:val="00D053D2"/>
    <w:rsid w:val="00D06238"/>
    <w:rsid w:val="00D063AC"/>
    <w:rsid w:val="00D1252E"/>
    <w:rsid w:val="00D209C5"/>
    <w:rsid w:val="00D312F7"/>
    <w:rsid w:val="00D57772"/>
    <w:rsid w:val="00D73FAE"/>
    <w:rsid w:val="00D75A4D"/>
    <w:rsid w:val="00D8478B"/>
    <w:rsid w:val="00D86151"/>
    <w:rsid w:val="00D95002"/>
    <w:rsid w:val="00D96EDE"/>
    <w:rsid w:val="00DA7595"/>
    <w:rsid w:val="00DB0A68"/>
    <w:rsid w:val="00DB3E34"/>
    <w:rsid w:val="00DC43A3"/>
    <w:rsid w:val="00DD7C09"/>
    <w:rsid w:val="00E00C4B"/>
    <w:rsid w:val="00E0124F"/>
    <w:rsid w:val="00E05ED8"/>
    <w:rsid w:val="00E674D3"/>
    <w:rsid w:val="00E70FD0"/>
    <w:rsid w:val="00E71BEE"/>
    <w:rsid w:val="00E82ED0"/>
    <w:rsid w:val="00E8791E"/>
    <w:rsid w:val="00F075EB"/>
    <w:rsid w:val="00F65FB4"/>
    <w:rsid w:val="00F84067"/>
    <w:rsid w:val="00FC01FF"/>
    <w:rsid w:val="00FD0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1">
    <w:name w:val="heading 1"/>
    <w:basedOn w:val="a"/>
    <w:next w:val="a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8">
    <w:name w:val="heading 8"/>
    <w:basedOn w:val="a"/>
    <w:next w:val="a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A7595"/>
    <w:pPr>
      <w:tabs>
        <w:tab w:val="center" w:pos="4320"/>
        <w:tab w:val="right" w:pos="8640"/>
      </w:tabs>
    </w:pPr>
  </w:style>
  <w:style w:type="paragraph" w:customStyle="1" w:styleId="a4">
    <w:name w:val="표"/>
    <w:basedOn w:val="a"/>
    <w:next w:val="a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a5">
    <w:name w:val="page number"/>
    <w:basedOn w:val="a0"/>
    <w:rsid w:val="00DA7595"/>
  </w:style>
  <w:style w:type="paragraph" w:styleId="a6">
    <w:name w:val="Normal Indent"/>
    <w:basedOn w:val="a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a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a7">
    <w:name w:val="header"/>
    <w:basedOn w:val="a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a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a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a8">
    <w:name w:val="List Paragraph"/>
    <w:basedOn w:val="a"/>
    <w:uiPriority w:val="34"/>
    <w:qFormat/>
    <w:rsid w:val="00382D6D"/>
    <w:pPr>
      <w:ind w:left="720"/>
      <w:contextualSpacing/>
    </w:pPr>
  </w:style>
  <w:style w:type="table" w:styleId="a9">
    <w:name w:val="Table Grid"/>
    <w:basedOn w:val="a1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Elegant"/>
    <w:basedOn w:val="a1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b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uiPriority w:val="59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96CE8-6479-4EB2-8E6B-976DD38A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110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高晓阳</cp:lastModifiedBy>
  <cp:revision>9</cp:revision>
  <cp:lastPrinted>2004-07-28T02:14:00Z</cp:lastPrinted>
  <dcterms:created xsi:type="dcterms:W3CDTF">2012-01-26T20:02:00Z</dcterms:created>
  <dcterms:modified xsi:type="dcterms:W3CDTF">2012-01-30T10:13:00Z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