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144" w:type="dxa"/>
        <w:tblBorders>
          <w:bottom w:val="single" w:sz="12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3"/>
        <w:gridCol w:w="5940"/>
        <w:gridCol w:w="2347"/>
      </w:tblGrid>
      <w:tr w:rsidR="00F01103" w:rsidRPr="007F0A02" w14:paraId="356297B6" w14:textId="77777777" w:rsidTr="00FB258F">
        <w:trPr>
          <w:cantSplit/>
          <w:trHeight w:val="317"/>
        </w:trPr>
        <w:tc>
          <w:tcPr>
            <w:tcW w:w="143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A87B9F2" w14:textId="77777777" w:rsidR="00F01103" w:rsidRPr="007F0A02" w:rsidRDefault="00F01103" w:rsidP="00FB2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jc w:val="left"/>
              <w:rPr>
                <w:noProof w:val="0"/>
                <w:kern w:val="2"/>
                <w:sz w:val="24"/>
                <w:szCs w:val="24"/>
              </w:rPr>
            </w:pPr>
            <w:r w:rsidRPr="007F0A02">
              <w:rPr>
                <w:sz w:val="24"/>
                <w:szCs w:val="24"/>
                <w:lang w:eastAsia="en-US"/>
              </w:rPr>
              <w:drawing>
                <wp:inline distT="0" distB="0" distL="0" distR="0" wp14:anchorId="41F956F7" wp14:editId="158A0B03">
                  <wp:extent cx="819150" cy="733425"/>
                  <wp:effectExtent l="0" t="0" r="0" b="9525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54F29" w14:textId="77777777" w:rsidR="00F01103" w:rsidRPr="00D524B2" w:rsidRDefault="00F01103" w:rsidP="00FB258F">
            <w:pPr>
              <w:pStyle w:val="Heading8"/>
              <w:wordWrap/>
              <w:jc w:val="left"/>
              <w:rPr>
                <w:b w:val="0"/>
                <w:bCs w:val="0"/>
                <w:sz w:val="24"/>
                <w:szCs w:val="24"/>
              </w:rPr>
            </w:pPr>
            <w:r w:rsidRPr="00D524B2">
              <w:rPr>
                <w:b w:val="0"/>
                <w:bCs w:val="0"/>
                <w:sz w:val="24"/>
                <w:szCs w:val="24"/>
              </w:rPr>
              <w:t>ASIA-PACIFIC TELECOMMUNITY</w:t>
            </w:r>
          </w:p>
        </w:tc>
        <w:tc>
          <w:tcPr>
            <w:tcW w:w="23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EA8DFD" w14:textId="77777777" w:rsidR="00F01103" w:rsidRPr="00D524B2" w:rsidRDefault="00F01103" w:rsidP="00FB258F">
            <w:pPr>
              <w:rPr>
                <w:b/>
              </w:rPr>
            </w:pPr>
            <w:r w:rsidRPr="00D524B2">
              <w:rPr>
                <w:b/>
              </w:rPr>
              <w:t>Document</w:t>
            </w:r>
            <w:r w:rsidR="00E57A38" w:rsidRPr="00D524B2">
              <w:rPr>
                <w:b/>
              </w:rPr>
              <w:t xml:space="preserve"> No.</w:t>
            </w:r>
            <w:r w:rsidRPr="00D524B2">
              <w:rPr>
                <w:b/>
              </w:rPr>
              <w:t>:</w:t>
            </w:r>
          </w:p>
          <w:p w14:paraId="655628A8" w14:textId="11866F9F" w:rsidR="00F01103" w:rsidRPr="00D524B2" w:rsidRDefault="00D524B2" w:rsidP="007A762F">
            <w:r>
              <w:rPr>
                <w:b/>
                <w:bCs/>
              </w:rPr>
              <w:t>ASTAP-30/</w:t>
            </w:r>
            <w:r w:rsidR="00EF01D2">
              <w:rPr>
                <w:b/>
                <w:bCs/>
              </w:rPr>
              <w:t>OUT-08</w:t>
            </w:r>
          </w:p>
        </w:tc>
      </w:tr>
      <w:tr w:rsidR="00F01103" w:rsidRPr="007F0A02" w14:paraId="1EC9F14D" w14:textId="77777777" w:rsidTr="00FB258F">
        <w:trPr>
          <w:cantSplit/>
          <w:trHeight w:val="495"/>
        </w:trPr>
        <w:tc>
          <w:tcPr>
            <w:tcW w:w="143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63036D" w14:textId="77777777" w:rsidR="00F01103" w:rsidRPr="007F0A02" w:rsidRDefault="00F01103" w:rsidP="00FB258F">
            <w:pPr>
              <w:rPr>
                <w:kern w:val="2"/>
                <w:lang w:eastAsia="ko-KR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72C10" w14:textId="77777777" w:rsidR="00F01103" w:rsidRPr="00D524B2" w:rsidRDefault="00F01103" w:rsidP="00FB258F">
            <w:r w:rsidRPr="00D524B2">
              <w:rPr>
                <w:b/>
              </w:rPr>
              <w:t xml:space="preserve">30th </w:t>
            </w:r>
            <w:r w:rsidRPr="00D524B2">
              <w:rPr>
                <w:b/>
                <w:bCs/>
              </w:rPr>
              <w:t>APT Standardization Program Forum</w:t>
            </w:r>
            <w:r w:rsidRPr="00D524B2">
              <w:rPr>
                <w:b/>
                <w:bCs/>
              </w:rPr>
              <w:br/>
            </w:r>
            <w:r w:rsidRPr="00D524B2">
              <w:rPr>
                <w:b/>
              </w:rPr>
              <w:t>(ASTAP-30)</w:t>
            </w:r>
          </w:p>
        </w:tc>
        <w:tc>
          <w:tcPr>
            <w:tcW w:w="23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235E2" w14:textId="77777777" w:rsidR="00F01103" w:rsidRPr="00D524B2" w:rsidRDefault="00F01103" w:rsidP="00FB258F"/>
        </w:tc>
      </w:tr>
      <w:tr w:rsidR="00F01103" w:rsidRPr="007F0A02" w14:paraId="10EBB2D1" w14:textId="77777777" w:rsidTr="00FB258F">
        <w:trPr>
          <w:cantSplit/>
          <w:trHeight w:val="360"/>
        </w:trPr>
        <w:tc>
          <w:tcPr>
            <w:tcW w:w="14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3AD46A" w14:textId="77777777" w:rsidR="00F01103" w:rsidRPr="007F0A02" w:rsidRDefault="00F01103" w:rsidP="00FB258F">
            <w:pPr>
              <w:rPr>
                <w:kern w:val="2"/>
                <w:lang w:eastAsia="ko-KR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F3BE40" w14:textId="07A17F6B" w:rsidR="00F01103" w:rsidRPr="00D524B2" w:rsidRDefault="00FB258F" w:rsidP="00FB258F">
            <w:r w:rsidRPr="00D524B2">
              <w:t>21–25 May 2018, Bangkok, Thailand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D66BA0" w14:textId="3566D909" w:rsidR="00F01103" w:rsidRPr="00D524B2" w:rsidRDefault="00D524B2" w:rsidP="00FB258F">
            <w:pPr>
              <w:pStyle w:val="Heading1"/>
              <w:jc w:val="left"/>
              <w:rPr>
                <w:b w:val="0"/>
              </w:rPr>
            </w:pPr>
            <w:r w:rsidRPr="00D524B2">
              <w:rPr>
                <w:rFonts w:eastAsiaTheme="minorEastAsia"/>
                <w:b w:val="0"/>
                <w:u w:val="none"/>
                <w:lang w:eastAsia="ja-JP"/>
              </w:rPr>
              <w:t>2</w:t>
            </w:r>
            <w:r w:rsidR="00EF01D2">
              <w:rPr>
                <w:rFonts w:eastAsiaTheme="minorEastAsia"/>
                <w:b w:val="0"/>
                <w:u w:val="none"/>
                <w:lang w:eastAsia="ja-JP"/>
              </w:rPr>
              <w:t>5</w:t>
            </w:r>
            <w:r w:rsidR="00F01103" w:rsidRPr="00D524B2">
              <w:rPr>
                <w:rFonts w:eastAsiaTheme="minorEastAsia"/>
                <w:b w:val="0"/>
                <w:u w:val="none"/>
                <w:lang w:eastAsia="ja-JP"/>
              </w:rPr>
              <w:t xml:space="preserve"> May</w:t>
            </w:r>
            <w:r w:rsidR="00F01103" w:rsidRPr="00D524B2">
              <w:rPr>
                <w:b w:val="0"/>
                <w:u w:val="none"/>
              </w:rPr>
              <w:t xml:space="preserve"> 2018</w:t>
            </w:r>
          </w:p>
        </w:tc>
      </w:tr>
    </w:tbl>
    <w:p w14:paraId="3D37BFA9" w14:textId="77777777" w:rsidR="00323917" w:rsidRPr="007F0A02" w:rsidRDefault="00323917" w:rsidP="00323917">
      <w:pPr>
        <w:jc w:val="center"/>
        <w:rPr>
          <w:lang w:eastAsia="ko-KR"/>
        </w:rPr>
      </w:pPr>
    </w:p>
    <w:p w14:paraId="45A0EC63" w14:textId="29CCBFCF" w:rsidR="00EF01D2" w:rsidRPr="000C0807" w:rsidRDefault="00EF01D2" w:rsidP="00EF01D2">
      <w:pPr>
        <w:jc w:val="center"/>
        <w:rPr>
          <w:bCs/>
          <w:lang w:eastAsia="ko-KR"/>
        </w:rPr>
      </w:pPr>
      <w:r w:rsidRPr="000C0807">
        <w:t>Working Group on Policy, Strategy and Coordination (PSC WG)</w:t>
      </w:r>
    </w:p>
    <w:p w14:paraId="3AE11C9D" w14:textId="77777777" w:rsidR="00DF3583" w:rsidRPr="000C0807" w:rsidRDefault="00DF3583" w:rsidP="00DF3583">
      <w:pPr>
        <w:jc w:val="center"/>
        <w:rPr>
          <w:b/>
          <w:bCs/>
          <w:caps/>
        </w:rPr>
      </w:pPr>
    </w:p>
    <w:p w14:paraId="3FD7D3EE" w14:textId="77777777" w:rsidR="00A66A5A" w:rsidRPr="000C0807" w:rsidRDefault="00A66A5A" w:rsidP="00A66A5A">
      <w:pPr>
        <w:jc w:val="center"/>
        <w:rPr>
          <w:b/>
          <w:bCs/>
          <w:caps/>
        </w:rPr>
      </w:pPr>
      <w:r w:rsidRPr="000C0807">
        <w:rPr>
          <w:b/>
          <w:bCs/>
          <w:caps/>
        </w:rPr>
        <w:t>QUESTIONNAIRE ON THE REGULATORY MATTER AND IMPLEMENTATION PRACTICES OF QUALITY OF EXPERIENCE IN MOBILE COMMUNICATIONS</w:t>
      </w:r>
    </w:p>
    <w:p w14:paraId="55EA2EE5" w14:textId="77777777" w:rsidR="00A66A5A" w:rsidRDefault="00A66A5A" w:rsidP="00A66A5A">
      <w:pPr>
        <w:jc w:val="center"/>
        <w:rPr>
          <w:b/>
        </w:rPr>
      </w:pPr>
    </w:p>
    <w:p w14:paraId="50E01FFF" w14:textId="77777777" w:rsidR="000C0807" w:rsidRDefault="000C0807" w:rsidP="00A66A5A">
      <w:pPr>
        <w:jc w:val="center"/>
        <w:rPr>
          <w:b/>
          <w:sz w:val="28"/>
          <w:szCs w:val="28"/>
        </w:rPr>
      </w:pPr>
    </w:p>
    <w:p w14:paraId="1415F471" w14:textId="77777777" w:rsidR="00A66A5A" w:rsidRPr="000C0807" w:rsidRDefault="00A66A5A" w:rsidP="00A66A5A">
      <w:pPr>
        <w:jc w:val="center"/>
        <w:rPr>
          <w:b/>
        </w:rPr>
      </w:pPr>
      <w:r w:rsidRPr="000C0807">
        <w:rPr>
          <w:b/>
        </w:rPr>
        <w:t>Section 1: Elementary Part</w:t>
      </w:r>
    </w:p>
    <w:p w14:paraId="294F4016" w14:textId="77777777" w:rsidR="00A66A5A" w:rsidRDefault="00A66A5A" w:rsidP="00A66A5A">
      <w:pPr>
        <w:jc w:val="center"/>
      </w:pPr>
    </w:p>
    <w:p w14:paraId="02360547" w14:textId="77777777" w:rsidR="00A66A5A" w:rsidRDefault="00A66A5A" w:rsidP="00A66A5A">
      <w:pPr>
        <w:numPr>
          <w:ilvl w:val="0"/>
          <w:numId w:val="10"/>
        </w:numPr>
        <w:jc w:val="both"/>
        <w:rPr>
          <w:b/>
        </w:rPr>
      </w:pPr>
      <w:r w:rsidRPr="0055601E">
        <w:rPr>
          <w:b/>
        </w:rPr>
        <w:t>Introduction:</w:t>
      </w:r>
    </w:p>
    <w:p w14:paraId="6D7522CC" w14:textId="77777777" w:rsidR="00A66A5A" w:rsidRDefault="00A66A5A" w:rsidP="00A66A5A">
      <w:pPr>
        <w:ind w:left="360"/>
        <w:jc w:val="both"/>
        <w:rPr>
          <w:b/>
        </w:rPr>
      </w:pPr>
    </w:p>
    <w:p w14:paraId="41C4DA2E" w14:textId="77777777" w:rsidR="00A66A5A" w:rsidRDefault="00A66A5A" w:rsidP="00A66A5A">
      <w:pPr>
        <w:ind w:left="360" w:firstLine="360"/>
        <w:jc w:val="both"/>
      </w:pPr>
      <w:r>
        <w:t>According to</w:t>
      </w:r>
      <w:r w:rsidRPr="00800CA7">
        <w:t xml:space="preserve"> ITU-T</w:t>
      </w:r>
      <w:r>
        <w:t xml:space="preserve"> Recommendation</w:t>
      </w:r>
      <w:r w:rsidRPr="00800CA7">
        <w:t xml:space="preserve"> P.10, Quality of experience (</w:t>
      </w:r>
      <w:proofErr w:type="spellStart"/>
      <w:r w:rsidRPr="00800CA7">
        <w:t>QoE</w:t>
      </w:r>
      <w:proofErr w:type="spellEnd"/>
      <w:r w:rsidRPr="00800CA7">
        <w:t xml:space="preserve">) </w:t>
      </w:r>
      <w:r>
        <w:t xml:space="preserve">is </w:t>
      </w:r>
      <w:r w:rsidRPr="00800CA7">
        <w:t>defined as “The degree of delight or annoyance of the user of an application or service”.</w:t>
      </w:r>
      <w:r w:rsidRPr="001141C8">
        <w:t xml:space="preserve"> </w:t>
      </w:r>
      <w:r>
        <w:t xml:space="preserve">With regards to mobile communications, </w:t>
      </w:r>
      <w:proofErr w:type="spellStart"/>
      <w:r>
        <w:t>QoE</w:t>
      </w:r>
      <w:proofErr w:type="spellEnd"/>
      <w:r>
        <w:t xml:space="preserve"> has a broader scope than </w:t>
      </w:r>
      <w:proofErr w:type="spellStart"/>
      <w:r>
        <w:t>QoS</w:t>
      </w:r>
      <w:proofErr w:type="spellEnd"/>
      <w:r>
        <w:t xml:space="preserve"> but it is closely associated with </w:t>
      </w:r>
      <w:proofErr w:type="spellStart"/>
      <w:r>
        <w:t>QoS</w:t>
      </w:r>
      <w:proofErr w:type="spellEnd"/>
      <w:r>
        <w:t xml:space="preserve"> and impacted by </w:t>
      </w:r>
      <w:proofErr w:type="spellStart"/>
      <w:r>
        <w:t>QoS</w:t>
      </w:r>
      <w:proofErr w:type="spellEnd"/>
      <w:r>
        <w:t xml:space="preserve"> as well as by user expectations and application context. The </w:t>
      </w:r>
      <w:r w:rsidRPr="00800CA7">
        <w:t xml:space="preserve">assessment of </w:t>
      </w:r>
      <w:proofErr w:type="spellStart"/>
      <w:r w:rsidRPr="00800CA7">
        <w:t>QoE</w:t>
      </w:r>
      <w:proofErr w:type="spellEnd"/>
      <w:r w:rsidRPr="00800CA7">
        <w:t xml:space="preserve"> must be performed by subjective tests with metrics such as the mean opinion scored through survey. </w:t>
      </w:r>
      <w:r>
        <w:t xml:space="preserve">As the result, </w:t>
      </w:r>
      <w:r w:rsidRPr="00800CA7">
        <w:t xml:space="preserve">the required resources and human effort </w:t>
      </w:r>
      <w:r>
        <w:t xml:space="preserve">to perform </w:t>
      </w:r>
      <w:proofErr w:type="spellStart"/>
      <w:r>
        <w:t>QoE</w:t>
      </w:r>
      <w:proofErr w:type="spellEnd"/>
      <w:r>
        <w:t xml:space="preserve"> assessment </w:t>
      </w:r>
      <w:r w:rsidRPr="00800CA7">
        <w:t>is too high and the result may differ</w:t>
      </w:r>
      <w:r>
        <w:t xml:space="preserve"> significantly </w:t>
      </w:r>
      <w:r w:rsidRPr="00800CA7">
        <w:t xml:space="preserve">from </w:t>
      </w:r>
      <w:r>
        <w:t xml:space="preserve">different </w:t>
      </w:r>
      <w:r w:rsidRPr="00800CA7">
        <w:t>user</w:t>
      </w:r>
      <w:r>
        <w:t xml:space="preserve"> group</w:t>
      </w:r>
      <w:r w:rsidRPr="00800CA7">
        <w:t xml:space="preserve">s. In order to evaluate </w:t>
      </w:r>
      <w:proofErr w:type="spellStart"/>
      <w:r w:rsidRPr="00800CA7">
        <w:t>QoE</w:t>
      </w:r>
      <w:proofErr w:type="spellEnd"/>
      <w:r w:rsidRPr="00800CA7">
        <w:t xml:space="preserve">, it is possible to measure objective </w:t>
      </w:r>
      <w:proofErr w:type="spellStart"/>
      <w:r w:rsidRPr="00800CA7">
        <w:t>QoE</w:t>
      </w:r>
      <w:proofErr w:type="spellEnd"/>
      <w:r>
        <w:t xml:space="preserve"> centric </w:t>
      </w:r>
      <w:r w:rsidRPr="00800CA7">
        <w:t>parameters</w:t>
      </w:r>
      <w:r>
        <w:t>/KPI</w:t>
      </w:r>
      <w:r w:rsidRPr="00800CA7">
        <w:t xml:space="preserve"> through quality estimations</w:t>
      </w:r>
      <w:r>
        <w:t xml:space="preserve"> by objective techniques</w:t>
      </w:r>
      <w:r w:rsidRPr="00800CA7">
        <w:t xml:space="preserve">, which can be classified as </w:t>
      </w:r>
      <w:r w:rsidRPr="009C5936">
        <w:rPr>
          <w:i/>
        </w:rPr>
        <w:t>intrusive</w:t>
      </w:r>
      <w:r w:rsidRPr="00800CA7">
        <w:t>, which requires signal to be injected into the system</w:t>
      </w:r>
      <w:r>
        <w:t>,</w:t>
      </w:r>
      <w:r w:rsidRPr="00800CA7">
        <w:t xml:space="preserve"> and </w:t>
      </w:r>
      <w:r w:rsidRPr="009C5936">
        <w:rPr>
          <w:i/>
        </w:rPr>
        <w:t>non-intrusive</w:t>
      </w:r>
      <w:r w:rsidRPr="00800CA7">
        <w:t xml:space="preserve">, which can be done whilst live traffic. </w:t>
      </w:r>
      <w:r>
        <w:t xml:space="preserve">This document considers following popular mobile services and its widely accepted method used to estimate the </w:t>
      </w:r>
      <w:proofErr w:type="spellStart"/>
      <w:r>
        <w:t>QoE</w:t>
      </w:r>
      <w:proofErr w:type="spellEnd"/>
      <w:r>
        <w:t xml:space="preserve">: </w:t>
      </w:r>
    </w:p>
    <w:p w14:paraId="3011FC14" w14:textId="77777777" w:rsidR="000C0807" w:rsidRDefault="000C0807" w:rsidP="00A66A5A">
      <w:pPr>
        <w:ind w:left="360" w:firstLine="360"/>
        <w:jc w:val="both"/>
      </w:pPr>
    </w:p>
    <w:p w14:paraId="37F30109" w14:textId="77777777" w:rsidR="00A66A5A" w:rsidRDefault="00A66A5A" w:rsidP="00A66A5A">
      <w:pPr>
        <w:ind w:left="360" w:firstLine="360"/>
        <w:jc w:val="both"/>
      </w:pPr>
      <w:r>
        <w:t>For v</w:t>
      </w:r>
      <w:r w:rsidRPr="00800CA7">
        <w:t xml:space="preserve">oice </w:t>
      </w:r>
      <w:r>
        <w:t xml:space="preserve">telephony </w:t>
      </w:r>
      <w:r w:rsidRPr="00800CA7">
        <w:t xml:space="preserve">service: </w:t>
      </w:r>
      <w:r>
        <w:t xml:space="preserve">to estimate the user perceived quality of conversation by objectively measured </w:t>
      </w:r>
      <w:r w:rsidRPr="00800CA7">
        <w:t>end-to-end speech quality of telephone</w:t>
      </w:r>
      <w:r>
        <w:t xml:space="preserve"> networks and speech codecs</w:t>
      </w:r>
      <w:r w:rsidRPr="00800CA7">
        <w:t>. These methods are described</w:t>
      </w:r>
      <w:r>
        <w:t xml:space="preserve"> in ITU-T Recommendations P. 862 </w:t>
      </w:r>
      <w:r w:rsidRPr="00800CA7">
        <w:t>(</w:t>
      </w:r>
      <w:r>
        <w:t xml:space="preserve">as known as </w:t>
      </w:r>
      <w:r w:rsidRPr="00800CA7">
        <w:t xml:space="preserve">PESQ, Perceptual Evaluation of Speech Quality) and </w:t>
      </w:r>
      <w:r>
        <w:t>its successor, ITU-T</w:t>
      </w:r>
      <w:r w:rsidRPr="00800CA7">
        <w:t xml:space="preserve"> </w:t>
      </w:r>
      <w:r>
        <w:t xml:space="preserve">Recommendation </w:t>
      </w:r>
      <w:r w:rsidRPr="00800CA7">
        <w:t>P.</w:t>
      </w:r>
      <w:r>
        <w:t xml:space="preserve"> </w:t>
      </w:r>
      <w:r w:rsidRPr="00800CA7">
        <w:t>863 (</w:t>
      </w:r>
      <w:r>
        <w:t xml:space="preserve">as known as </w:t>
      </w:r>
      <w:r w:rsidRPr="00800CA7">
        <w:t>POLQA, Perceptual Objective Listening Quality Assessment)</w:t>
      </w:r>
      <w:r>
        <w:t>.</w:t>
      </w:r>
    </w:p>
    <w:p w14:paraId="3D00628F" w14:textId="77777777" w:rsidR="000C0807" w:rsidRDefault="000C0807" w:rsidP="00A66A5A">
      <w:pPr>
        <w:ind w:left="360" w:firstLine="360"/>
        <w:jc w:val="both"/>
      </w:pPr>
    </w:p>
    <w:p w14:paraId="007B8672" w14:textId="77777777" w:rsidR="00A66A5A" w:rsidRDefault="00A66A5A" w:rsidP="00A66A5A">
      <w:pPr>
        <w:ind w:left="360" w:firstLine="360"/>
        <w:jc w:val="both"/>
      </w:pPr>
      <w:r w:rsidRPr="00800CA7">
        <w:t xml:space="preserve">For Internet-based services, measuring </w:t>
      </w:r>
      <w:proofErr w:type="spellStart"/>
      <w:r w:rsidRPr="00800CA7">
        <w:t>QoE</w:t>
      </w:r>
      <w:proofErr w:type="spellEnd"/>
      <w:r w:rsidRPr="00800CA7">
        <w:t xml:space="preserve"> is mainly related to the streaming video services as perceived by the end user. </w:t>
      </w:r>
      <w:r>
        <w:t>Popular method is o</w:t>
      </w:r>
      <w:r w:rsidRPr="00800CA7">
        <w:t xml:space="preserve">bjective algorithmic model for measuring the visual quality of IP-based video services </w:t>
      </w:r>
      <w:r>
        <w:t xml:space="preserve">has been </w:t>
      </w:r>
      <w:r w:rsidRPr="00800CA7">
        <w:t>described in the ITU-T</w:t>
      </w:r>
      <w:r>
        <w:t xml:space="preserve"> recommendation J.343.1 and ITU-T J.247.</w:t>
      </w:r>
    </w:p>
    <w:p w14:paraId="52D1D2E0" w14:textId="77777777" w:rsidR="000C0807" w:rsidRDefault="000C0807" w:rsidP="00A66A5A">
      <w:pPr>
        <w:ind w:left="360" w:firstLine="360"/>
        <w:jc w:val="both"/>
      </w:pPr>
    </w:p>
    <w:p w14:paraId="1DE18487" w14:textId="77777777" w:rsidR="00A66A5A" w:rsidRPr="00800CA7" w:rsidRDefault="00A66A5A" w:rsidP="00A66A5A">
      <w:pPr>
        <w:ind w:left="360" w:firstLine="360"/>
        <w:jc w:val="both"/>
      </w:pPr>
      <w:r w:rsidRPr="00800CA7">
        <w:t xml:space="preserve">For Internet access service, measuring </w:t>
      </w:r>
      <w:proofErr w:type="spellStart"/>
      <w:r w:rsidRPr="00800CA7">
        <w:t>QoE</w:t>
      </w:r>
      <w:proofErr w:type="spellEnd"/>
      <w:r w:rsidRPr="00800CA7">
        <w:t xml:space="preserve"> can be done through crowdsourcing application, which is intended to perform speed test and measure quality of the connection. </w:t>
      </w:r>
    </w:p>
    <w:p w14:paraId="6FA602F6" w14:textId="77777777" w:rsidR="00A66A5A" w:rsidRDefault="00A66A5A" w:rsidP="00A66A5A">
      <w:pPr>
        <w:jc w:val="both"/>
        <w:rPr>
          <w:b/>
        </w:rPr>
      </w:pPr>
    </w:p>
    <w:p w14:paraId="4ECC8D7E" w14:textId="77777777" w:rsidR="00A66A5A" w:rsidRDefault="00A66A5A" w:rsidP="00A66A5A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Objective of the Questionnaire:</w:t>
      </w:r>
    </w:p>
    <w:p w14:paraId="185CEF38" w14:textId="77777777" w:rsidR="00A66A5A" w:rsidRDefault="00A66A5A" w:rsidP="00A66A5A">
      <w:pPr>
        <w:ind w:left="360"/>
        <w:jc w:val="both"/>
        <w:rPr>
          <w:b/>
        </w:rPr>
      </w:pPr>
    </w:p>
    <w:p w14:paraId="40520605" w14:textId="77777777" w:rsidR="00A66A5A" w:rsidRPr="00FA3184" w:rsidRDefault="00A66A5A" w:rsidP="00A66A5A">
      <w:pPr>
        <w:ind w:left="360" w:firstLine="360"/>
        <w:jc w:val="both"/>
      </w:pPr>
      <w:r w:rsidRPr="008C2E48">
        <w:t>A</w:t>
      </w:r>
      <w:r>
        <w:t>t the ASTAP-29</w:t>
      </w:r>
      <w:r w:rsidRPr="008C2E48">
        <w:t xml:space="preserve"> meeting, the new work item on regulatory matter and implementation practices of </w:t>
      </w:r>
      <w:proofErr w:type="spellStart"/>
      <w:r w:rsidRPr="008C2E48">
        <w:t>QoE</w:t>
      </w:r>
      <w:proofErr w:type="spellEnd"/>
      <w:r w:rsidRPr="008C2E48">
        <w:t xml:space="preserve"> in mobile communications network (ASTAP-29/INP-32) has been adopted.</w:t>
      </w:r>
      <w:r>
        <w:t xml:space="preserve"> </w:t>
      </w:r>
      <w:r w:rsidRPr="008C2E48">
        <w:t xml:space="preserve">The object of this questionnaire is to gather information as input for report on regulatory matter and implementation practices on </w:t>
      </w:r>
      <w:proofErr w:type="spellStart"/>
      <w:r w:rsidRPr="008C2E48">
        <w:t>QoE</w:t>
      </w:r>
      <w:proofErr w:type="spellEnd"/>
      <w:r w:rsidRPr="008C2E48">
        <w:t xml:space="preserve"> in mobile communications network.</w:t>
      </w:r>
    </w:p>
    <w:p w14:paraId="25BDBD04" w14:textId="77777777" w:rsidR="00A66A5A" w:rsidRPr="008C2E48" w:rsidRDefault="00A66A5A" w:rsidP="00A66A5A">
      <w:pPr>
        <w:ind w:left="360"/>
        <w:jc w:val="both"/>
      </w:pPr>
    </w:p>
    <w:p w14:paraId="7B091C10" w14:textId="77777777" w:rsidR="00A66A5A" w:rsidRDefault="00A66A5A" w:rsidP="00A66A5A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>Responsible Group:</w:t>
      </w:r>
    </w:p>
    <w:p w14:paraId="27869B4F" w14:textId="77777777" w:rsidR="00A66A5A" w:rsidRDefault="00A66A5A" w:rsidP="00A66A5A">
      <w:pPr>
        <w:ind w:left="360"/>
        <w:jc w:val="both"/>
        <w:rPr>
          <w:b/>
        </w:rPr>
      </w:pPr>
    </w:p>
    <w:p w14:paraId="7200E529" w14:textId="77777777" w:rsidR="00A66A5A" w:rsidRDefault="00A66A5A" w:rsidP="00A66A5A">
      <w:pPr>
        <w:ind w:left="360"/>
        <w:jc w:val="both"/>
      </w:pPr>
      <w:r w:rsidRPr="00040DC0">
        <w:t xml:space="preserve">Expert Group on </w:t>
      </w:r>
      <w:r>
        <w:t>Policies, Regulatory and Strategies (EG PRS)</w:t>
      </w:r>
    </w:p>
    <w:p w14:paraId="65AB81A9" w14:textId="77777777" w:rsidR="00A66A5A" w:rsidRDefault="00A66A5A" w:rsidP="00A66A5A">
      <w:pPr>
        <w:ind w:left="360"/>
        <w:jc w:val="both"/>
      </w:pPr>
    </w:p>
    <w:p w14:paraId="7F9A2641" w14:textId="77777777" w:rsidR="00A66A5A" w:rsidRDefault="00A66A5A" w:rsidP="00A66A5A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Rapporteur of the Questionnaire:</w:t>
      </w:r>
    </w:p>
    <w:p w14:paraId="57BA811A" w14:textId="77777777" w:rsidR="00A66A5A" w:rsidRDefault="00A66A5A" w:rsidP="00A66A5A">
      <w:pPr>
        <w:ind w:left="360"/>
        <w:jc w:val="both"/>
        <w:rPr>
          <w:b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544"/>
        <w:gridCol w:w="2390"/>
      </w:tblGrid>
      <w:tr w:rsidR="00A66A5A" w:rsidRPr="00E41B5C" w14:paraId="14A93D90" w14:textId="77777777" w:rsidTr="0016504C">
        <w:trPr>
          <w:trHeight w:val="694"/>
        </w:trPr>
        <w:tc>
          <w:tcPr>
            <w:tcW w:w="2551" w:type="dxa"/>
            <w:shd w:val="clear" w:color="auto" w:fill="auto"/>
          </w:tcPr>
          <w:p w14:paraId="28F79518" w14:textId="77777777" w:rsidR="00A66A5A" w:rsidRPr="00F41E0B" w:rsidRDefault="00A66A5A" w:rsidP="0016504C">
            <w:pPr>
              <w:jc w:val="both"/>
              <w:rPr>
                <w:rFonts w:eastAsia="MS Mincho"/>
                <w:lang w:eastAsia="ja-JP"/>
              </w:rPr>
            </w:pPr>
            <w:r w:rsidRPr="00F41E0B">
              <w:rPr>
                <w:rFonts w:eastAsia="MS Mincho"/>
                <w:lang w:eastAsia="ja-JP"/>
              </w:rPr>
              <w:t xml:space="preserve">Binh </w:t>
            </w:r>
            <w:proofErr w:type="spellStart"/>
            <w:r w:rsidRPr="00F41E0B">
              <w:rPr>
                <w:rFonts w:eastAsia="MS Mincho"/>
                <w:lang w:eastAsia="ja-JP"/>
              </w:rPr>
              <w:t>Vuong</w:t>
            </w:r>
            <w:proofErr w:type="spellEnd"/>
            <w:r w:rsidRPr="00F41E0B">
              <w:rPr>
                <w:rFonts w:eastAsia="MS Mincho"/>
                <w:lang w:eastAsia="ja-JP"/>
              </w:rPr>
              <w:t xml:space="preserve"> The</w:t>
            </w:r>
          </w:p>
        </w:tc>
        <w:tc>
          <w:tcPr>
            <w:tcW w:w="3544" w:type="dxa"/>
            <w:shd w:val="clear" w:color="auto" w:fill="auto"/>
          </w:tcPr>
          <w:p w14:paraId="3D1F7A9B" w14:textId="77777777" w:rsidR="00A66A5A" w:rsidRPr="00F41E0B" w:rsidRDefault="00A66A5A" w:rsidP="00A66A5A">
            <w:pPr>
              <w:rPr>
                <w:rFonts w:eastAsia="MS Mincho"/>
                <w:lang w:eastAsia="ja-JP"/>
              </w:rPr>
            </w:pPr>
            <w:r w:rsidRPr="00F41E0B">
              <w:rPr>
                <w:rFonts w:eastAsia="Batang"/>
              </w:rPr>
              <w:t>Ministry of Information and Communications, Viet Nam</w:t>
            </w:r>
          </w:p>
        </w:tc>
        <w:tc>
          <w:tcPr>
            <w:tcW w:w="2390" w:type="dxa"/>
            <w:shd w:val="clear" w:color="auto" w:fill="auto"/>
          </w:tcPr>
          <w:p w14:paraId="7BAF71AF" w14:textId="77777777" w:rsidR="00A66A5A" w:rsidRPr="00F41E0B" w:rsidRDefault="00A66A5A" w:rsidP="0016504C">
            <w:pPr>
              <w:jc w:val="right"/>
              <w:rPr>
                <w:rFonts w:eastAsia="MS Mincho"/>
                <w:lang w:eastAsia="ja-JP"/>
              </w:rPr>
            </w:pPr>
            <w:r w:rsidRPr="00F41E0B">
              <w:rPr>
                <w:rFonts w:eastAsia="MS Mincho"/>
                <w:lang w:eastAsia="ja-JP"/>
              </w:rPr>
              <w:t xml:space="preserve">vtbinh@mic.gov.vn          </w:t>
            </w:r>
          </w:p>
        </w:tc>
      </w:tr>
      <w:tr w:rsidR="00A66A5A" w:rsidRPr="00E41B5C" w14:paraId="4F19ADC7" w14:textId="77777777" w:rsidTr="0016504C">
        <w:trPr>
          <w:trHeight w:val="695"/>
        </w:trPr>
        <w:tc>
          <w:tcPr>
            <w:tcW w:w="2551" w:type="dxa"/>
            <w:shd w:val="clear" w:color="auto" w:fill="auto"/>
          </w:tcPr>
          <w:p w14:paraId="3BAB81DF" w14:textId="77777777" w:rsidR="00A66A5A" w:rsidRPr="00F41E0B" w:rsidRDefault="00A66A5A" w:rsidP="0016504C">
            <w:pPr>
              <w:jc w:val="both"/>
              <w:rPr>
                <w:rFonts w:eastAsia="MS Mincho"/>
                <w:lang w:eastAsia="ja-JP"/>
              </w:rPr>
            </w:pPr>
            <w:r w:rsidRPr="00F41E0B">
              <w:rPr>
                <w:rFonts w:eastAsia="MS Mincho"/>
                <w:lang w:eastAsia="ja-JP"/>
              </w:rPr>
              <w:t>Khoa Nguyen Van</w:t>
            </w:r>
          </w:p>
        </w:tc>
        <w:tc>
          <w:tcPr>
            <w:tcW w:w="3544" w:type="dxa"/>
            <w:shd w:val="clear" w:color="auto" w:fill="auto"/>
          </w:tcPr>
          <w:p w14:paraId="3DA22992" w14:textId="77777777" w:rsidR="00A66A5A" w:rsidRPr="00F41E0B" w:rsidRDefault="00A66A5A" w:rsidP="00A66A5A">
            <w:pPr>
              <w:rPr>
                <w:rFonts w:eastAsia="MS Mincho"/>
                <w:lang w:eastAsia="ja-JP"/>
              </w:rPr>
            </w:pPr>
            <w:r w:rsidRPr="00F41E0B">
              <w:rPr>
                <w:rFonts w:eastAsia="Batang"/>
              </w:rPr>
              <w:t>Ministry of Information and Communications, Viet Nam</w:t>
            </w:r>
          </w:p>
        </w:tc>
        <w:tc>
          <w:tcPr>
            <w:tcW w:w="2390" w:type="dxa"/>
            <w:shd w:val="clear" w:color="auto" w:fill="auto"/>
          </w:tcPr>
          <w:p w14:paraId="11218C8D" w14:textId="77777777" w:rsidR="00A66A5A" w:rsidRPr="00F41E0B" w:rsidRDefault="00A66A5A" w:rsidP="0016504C">
            <w:pPr>
              <w:jc w:val="right"/>
              <w:rPr>
                <w:rFonts w:eastAsia="MS Mincho"/>
                <w:lang w:eastAsia="ja-JP"/>
              </w:rPr>
            </w:pPr>
            <w:r w:rsidRPr="00F41E0B">
              <w:rPr>
                <w:rFonts w:eastAsia="MS Mincho"/>
                <w:lang w:eastAsia="ja-JP"/>
              </w:rPr>
              <w:t>nvkhoa@mic.gov.vn</w:t>
            </w:r>
          </w:p>
        </w:tc>
      </w:tr>
    </w:tbl>
    <w:p w14:paraId="272C79BF" w14:textId="77777777" w:rsidR="00A66A5A" w:rsidRDefault="00A66A5A" w:rsidP="00A66A5A">
      <w:pPr>
        <w:ind w:left="360"/>
        <w:jc w:val="both"/>
      </w:pPr>
    </w:p>
    <w:p w14:paraId="70474EAE" w14:textId="77777777" w:rsidR="00A66A5A" w:rsidRDefault="00A66A5A" w:rsidP="00A66A5A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Meeting at which the Questionnaire was approved:</w:t>
      </w:r>
    </w:p>
    <w:p w14:paraId="7AA24F2F" w14:textId="77777777" w:rsidR="00A66A5A" w:rsidRDefault="00A66A5A" w:rsidP="00A66A5A">
      <w:pPr>
        <w:jc w:val="both"/>
        <w:rPr>
          <w:b/>
        </w:rPr>
      </w:pPr>
    </w:p>
    <w:p w14:paraId="3FC4C685" w14:textId="77777777" w:rsidR="00A66A5A" w:rsidRPr="004F0CC7" w:rsidRDefault="00A66A5A" w:rsidP="00A66A5A">
      <w:pPr>
        <w:ind w:left="360"/>
        <w:jc w:val="both"/>
      </w:pPr>
      <w:r>
        <w:t xml:space="preserve">ASTAP - 30. </w:t>
      </w:r>
    </w:p>
    <w:p w14:paraId="7B00AD50" w14:textId="77777777" w:rsidR="00A66A5A" w:rsidRDefault="00A66A5A" w:rsidP="00A66A5A">
      <w:pPr>
        <w:jc w:val="both"/>
        <w:rPr>
          <w:b/>
        </w:rPr>
      </w:pPr>
    </w:p>
    <w:p w14:paraId="6405BD76" w14:textId="77777777" w:rsidR="00A66A5A" w:rsidRDefault="00A66A5A" w:rsidP="00A66A5A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Target Responder:</w:t>
      </w:r>
    </w:p>
    <w:p w14:paraId="4B424B2E" w14:textId="77777777" w:rsidR="00A66A5A" w:rsidRDefault="00A66A5A" w:rsidP="00A66A5A">
      <w:pPr>
        <w:ind w:left="360"/>
        <w:jc w:val="both"/>
      </w:pPr>
    </w:p>
    <w:p w14:paraId="494B1274" w14:textId="3994530C" w:rsidR="00A66A5A" w:rsidRDefault="00C914FD" w:rsidP="00A66A5A">
      <w:pPr>
        <w:ind w:left="360"/>
        <w:jc w:val="both"/>
      </w:pPr>
      <w:r>
        <w:t>The APT M</w:t>
      </w:r>
      <w:bookmarkStart w:id="0" w:name="_GoBack"/>
      <w:bookmarkEnd w:id="0"/>
      <w:r w:rsidR="00A66A5A">
        <w:t xml:space="preserve">ember </w:t>
      </w:r>
      <w:r>
        <w:t>Administration</w:t>
      </w:r>
      <w:r w:rsidR="00A66A5A">
        <w:t xml:space="preserve"> that is responsible for developing/enforcing quality of service policies.</w:t>
      </w:r>
    </w:p>
    <w:p w14:paraId="600FD7D0" w14:textId="77777777" w:rsidR="00A66A5A" w:rsidRPr="00FA3184" w:rsidRDefault="00A66A5A" w:rsidP="00A66A5A">
      <w:pPr>
        <w:ind w:left="360"/>
        <w:jc w:val="both"/>
      </w:pPr>
      <w:r w:rsidRPr="00FA3184">
        <w:t xml:space="preserve"> </w:t>
      </w:r>
    </w:p>
    <w:p w14:paraId="5AD72113" w14:textId="77777777" w:rsidR="00A66A5A" w:rsidRDefault="00A66A5A" w:rsidP="00A66A5A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Deadline for Responses: </w:t>
      </w:r>
      <w:r w:rsidRPr="00EE2077">
        <w:rPr>
          <w:rFonts w:eastAsia="MS Mincho"/>
          <w:b/>
          <w:i/>
          <w:lang w:eastAsia="ja-JP"/>
        </w:rPr>
        <w:t>March</w:t>
      </w:r>
      <w:r w:rsidRPr="00EE2077">
        <w:rPr>
          <w:rFonts w:eastAsia="MS Mincho" w:hint="eastAsia"/>
          <w:b/>
          <w:i/>
          <w:lang w:eastAsia="ja-JP"/>
        </w:rPr>
        <w:t>, 201</w:t>
      </w:r>
      <w:r w:rsidRPr="00EE2077">
        <w:rPr>
          <w:rFonts w:eastAsia="MS Mincho"/>
          <w:b/>
          <w:i/>
          <w:lang w:eastAsia="ja-JP"/>
        </w:rPr>
        <w:t>9</w:t>
      </w:r>
      <w:r>
        <w:rPr>
          <w:rFonts w:eastAsia="MS Mincho"/>
          <w:lang w:eastAsia="ja-JP"/>
        </w:rPr>
        <w:t xml:space="preserve"> </w:t>
      </w:r>
    </w:p>
    <w:p w14:paraId="0A1CBFEE" w14:textId="77777777" w:rsidR="00A66A5A" w:rsidRDefault="00A66A5A" w:rsidP="00A66A5A">
      <w:pPr>
        <w:jc w:val="both"/>
        <w:rPr>
          <w:b/>
        </w:rPr>
      </w:pPr>
    </w:p>
    <w:p w14:paraId="0BFBC1C4" w14:textId="77777777" w:rsidR="00A66A5A" w:rsidRDefault="00A66A5A" w:rsidP="00A66A5A">
      <w:pPr>
        <w:jc w:val="both"/>
        <w:rPr>
          <w:b/>
        </w:rPr>
      </w:pPr>
    </w:p>
    <w:p w14:paraId="54452770" w14:textId="77777777" w:rsidR="00A66A5A" w:rsidRPr="0055601E" w:rsidRDefault="00A66A5A" w:rsidP="00A66A5A">
      <w:pPr>
        <w:jc w:val="both"/>
        <w:rPr>
          <w:b/>
        </w:rPr>
      </w:pPr>
    </w:p>
    <w:p w14:paraId="7C06C61B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2AEAF285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1266A3C6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06A5930A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19068B47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2B19CF74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18385282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43C21600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07D2D080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3D957174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292E3666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6CE9B6ED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5D1B9410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060C0E4C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178D1CFA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1B9D7279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023D42A9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0332F170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54651753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453CC07C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46B1387A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17D07B96" w14:textId="77777777" w:rsidR="00A66A5A" w:rsidRDefault="00A66A5A" w:rsidP="00A66A5A">
      <w:pPr>
        <w:jc w:val="center"/>
        <w:rPr>
          <w:b/>
          <w:sz w:val="28"/>
          <w:szCs w:val="28"/>
        </w:rPr>
      </w:pPr>
    </w:p>
    <w:p w14:paraId="07249A42" w14:textId="7DD24A7C" w:rsidR="00A66A5A" w:rsidRPr="000C0807" w:rsidRDefault="00A66A5A" w:rsidP="000C080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0C0807">
        <w:rPr>
          <w:b/>
        </w:rPr>
        <w:lastRenderedPageBreak/>
        <w:t>Section 2: Questionnaire Part</w:t>
      </w:r>
    </w:p>
    <w:p w14:paraId="223E852F" w14:textId="77777777" w:rsidR="00A66A5A" w:rsidRDefault="00A66A5A" w:rsidP="00A66A5A">
      <w:pPr>
        <w:rPr>
          <w:b/>
        </w:rPr>
      </w:pPr>
    </w:p>
    <w:p w14:paraId="5388202F" w14:textId="77777777" w:rsidR="00A66A5A" w:rsidRDefault="00A66A5A" w:rsidP="00A66A5A">
      <w:pPr>
        <w:jc w:val="both"/>
        <w:rPr>
          <w:b/>
        </w:rPr>
      </w:pPr>
      <w:r>
        <w:rPr>
          <w:b/>
        </w:rPr>
        <w:t xml:space="preserve">1. </w:t>
      </w:r>
      <w:r w:rsidRPr="00993260">
        <w:rPr>
          <w:rFonts w:eastAsia="Times New Roman"/>
          <w:color w:val="000000"/>
        </w:rPr>
        <w:t xml:space="preserve">Which </w:t>
      </w:r>
      <w:r>
        <w:rPr>
          <w:rFonts w:eastAsia="Times New Roman"/>
          <w:color w:val="000000"/>
        </w:rPr>
        <w:t xml:space="preserve">are most popular mobile </w:t>
      </w:r>
      <w:r w:rsidRPr="00993260">
        <w:rPr>
          <w:rFonts w:eastAsia="Times New Roman"/>
          <w:color w:val="000000"/>
        </w:rPr>
        <w:t>services in your country?</w:t>
      </w:r>
      <w:r w:rsidRPr="00993260">
        <w:t xml:space="preserve"> Mark more than one if needed.</w:t>
      </w:r>
    </w:p>
    <w:p w14:paraId="28478930" w14:textId="77777777" w:rsidR="00A66A5A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>
        <w:t xml:space="preserve"> Voice</w:t>
      </w:r>
      <w:r w:rsidRPr="00993260">
        <w:t xml:space="preserve"> </w:t>
      </w:r>
      <w:r>
        <w:t xml:space="preserve">telephony </w:t>
      </w:r>
      <w:r w:rsidRPr="00993260">
        <w:t>services</w:t>
      </w:r>
      <w:r>
        <w:t xml:space="preserve"> on 2G/3G/4G networks</w:t>
      </w:r>
    </w:p>
    <w:p w14:paraId="5B66AF4F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</w:t>
      </w:r>
      <w:r>
        <w:t>Internet access service on 3G/4G networks</w:t>
      </w:r>
    </w:p>
    <w:p w14:paraId="0D603E5F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</w:t>
      </w:r>
      <w:r>
        <w:t>Streaming video service on 3G/4G networks</w:t>
      </w:r>
    </w:p>
    <w:p w14:paraId="40457FBA" w14:textId="77777777" w:rsidR="00A66A5A" w:rsidRDefault="00A66A5A" w:rsidP="00A66A5A">
      <w:pPr>
        <w:rPr>
          <w:b/>
        </w:rPr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Other Services (name it): </w:t>
      </w:r>
    </w:p>
    <w:p w14:paraId="4541EBC5" w14:textId="77777777" w:rsidR="00A66A5A" w:rsidRDefault="00A66A5A" w:rsidP="00A66A5A">
      <w:pPr>
        <w:rPr>
          <w:b/>
        </w:rPr>
      </w:pPr>
    </w:p>
    <w:p w14:paraId="0CFEBF4F" w14:textId="77777777" w:rsidR="00A66A5A" w:rsidRPr="009B603B" w:rsidRDefault="00A66A5A" w:rsidP="00A66A5A">
      <w:pPr>
        <w:jc w:val="both"/>
      </w:pPr>
      <w:r w:rsidRPr="009B603B">
        <w:t xml:space="preserve">2. Do </w:t>
      </w:r>
      <w:r>
        <w:t>you</w:t>
      </w:r>
      <w:r w:rsidRPr="009B603B">
        <w:t xml:space="preserve"> have </w:t>
      </w:r>
      <w:r>
        <w:t>a</w:t>
      </w:r>
      <w:r w:rsidRPr="009B603B">
        <w:t xml:space="preserve"> </w:t>
      </w:r>
      <w:r w:rsidRPr="00BB4B7B">
        <w:t>regulat</w:t>
      </w:r>
      <w:r>
        <w:t>ion</w:t>
      </w:r>
      <w:r w:rsidRPr="009B603B">
        <w:t xml:space="preserve"> for</w:t>
      </w:r>
      <w:r>
        <w:t xml:space="preserve"> monitoring</w:t>
      </w:r>
      <w:r w:rsidRPr="009B603B">
        <w:t xml:space="preserve"> quality </w:t>
      </w:r>
      <w:r>
        <w:t xml:space="preserve">of mobile </w:t>
      </w:r>
      <w:r w:rsidRPr="009B603B">
        <w:t>services?</w:t>
      </w:r>
    </w:p>
    <w:p w14:paraId="23FDEBE7" w14:textId="77777777" w:rsidR="00A66A5A" w:rsidRPr="00993260" w:rsidRDefault="00A66A5A" w:rsidP="00A66A5A">
      <w:pPr>
        <w:pStyle w:val="ListParagraph1"/>
        <w:spacing w:before="120" w:after="40"/>
        <w:ind w:left="0"/>
        <w:contextualSpacing/>
        <w:jc w:val="both"/>
        <w:rPr>
          <w:sz w:val="24"/>
          <w:szCs w:val="24"/>
          <w:lang w:val="en-US"/>
        </w:rPr>
      </w:pPr>
      <w:r w:rsidRPr="0099326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rPr>
          <w:sz w:val="24"/>
          <w:szCs w:val="24"/>
        </w:rPr>
        <w:instrText xml:space="preserve"> FORMCHECKBOX </w:instrText>
      </w:r>
      <w:r w:rsidR="006B1415">
        <w:rPr>
          <w:sz w:val="24"/>
          <w:szCs w:val="24"/>
        </w:rPr>
      </w:r>
      <w:r w:rsidR="006B1415">
        <w:rPr>
          <w:sz w:val="24"/>
          <w:szCs w:val="24"/>
        </w:rPr>
        <w:fldChar w:fldCharType="separate"/>
      </w:r>
      <w:r w:rsidRPr="00993260">
        <w:rPr>
          <w:sz w:val="24"/>
          <w:szCs w:val="24"/>
        </w:rPr>
        <w:fldChar w:fldCharType="end"/>
      </w:r>
      <w:r w:rsidRPr="00993260">
        <w:rPr>
          <w:sz w:val="24"/>
          <w:szCs w:val="24"/>
        </w:rPr>
        <w:t xml:space="preserve"> </w:t>
      </w:r>
      <w:r w:rsidRPr="00993260">
        <w:rPr>
          <w:sz w:val="24"/>
          <w:szCs w:val="24"/>
          <w:lang w:val="en-US"/>
        </w:rPr>
        <w:t xml:space="preserve"> Yes </w:t>
      </w:r>
    </w:p>
    <w:p w14:paraId="5F4FCB37" w14:textId="77777777" w:rsidR="00A66A5A" w:rsidRDefault="00A66A5A" w:rsidP="00A66A5A">
      <w:pPr>
        <w:spacing w:before="40" w:after="12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 No</w:t>
      </w:r>
    </w:p>
    <w:p w14:paraId="1333F611" w14:textId="77777777" w:rsidR="00A66A5A" w:rsidRDefault="00A66A5A" w:rsidP="00A66A5A">
      <w:pPr>
        <w:rPr>
          <w:b/>
        </w:rPr>
      </w:pPr>
    </w:p>
    <w:p w14:paraId="4B73B208" w14:textId="77777777" w:rsidR="00A66A5A" w:rsidRDefault="00A66A5A" w:rsidP="00A66A5A">
      <w:pPr>
        <w:jc w:val="both"/>
      </w:pPr>
      <w:r w:rsidRPr="009B603B">
        <w:t xml:space="preserve">2.1 If </w:t>
      </w:r>
      <w:r>
        <w:t>answer is “</w:t>
      </w:r>
      <w:r w:rsidRPr="009B603B">
        <w:t>Yes</w:t>
      </w:r>
      <w:r>
        <w:t>”</w:t>
      </w:r>
      <w:r w:rsidRPr="009B603B">
        <w:t>, w</w:t>
      </w:r>
      <w:r w:rsidRPr="00BB4B7B">
        <w:rPr>
          <w:rFonts w:eastAsia="Times New Roman"/>
          <w:color w:val="000000"/>
        </w:rPr>
        <w:t>hich</w:t>
      </w:r>
      <w:r w:rsidRPr="00993260">
        <w:rPr>
          <w:rFonts w:eastAsia="Times New Roman"/>
          <w:color w:val="000000"/>
        </w:rPr>
        <w:t xml:space="preserve"> services </w:t>
      </w:r>
      <w:r>
        <w:rPr>
          <w:rFonts w:eastAsia="Times New Roman"/>
          <w:color w:val="000000"/>
        </w:rPr>
        <w:t>are being monitored</w:t>
      </w:r>
      <w:r w:rsidRPr="00993260">
        <w:t>? Mark more than one if needed.</w:t>
      </w:r>
      <w:r>
        <w:t xml:space="preserve"> </w:t>
      </w:r>
    </w:p>
    <w:p w14:paraId="3081BE2A" w14:textId="77777777" w:rsidR="00A66A5A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>
        <w:t xml:space="preserve"> Voice</w:t>
      </w:r>
      <w:r w:rsidRPr="00993260">
        <w:t xml:space="preserve"> </w:t>
      </w:r>
      <w:r>
        <w:t xml:space="preserve">telephony </w:t>
      </w:r>
      <w:r w:rsidRPr="00993260">
        <w:t>services</w:t>
      </w:r>
      <w:r>
        <w:t xml:space="preserve"> on 2G/3G/4G networks</w:t>
      </w:r>
    </w:p>
    <w:p w14:paraId="7C692240" w14:textId="77777777" w:rsidR="00A66A5A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</w:t>
      </w:r>
      <w:r>
        <w:t>Internet access service on 3G/4G networks</w:t>
      </w:r>
    </w:p>
    <w:p w14:paraId="6853FF03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</w:t>
      </w:r>
      <w:r>
        <w:t>Streaming video service on 3G/4G networks</w:t>
      </w:r>
    </w:p>
    <w:p w14:paraId="796B0967" w14:textId="77777777" w:rsidR="00A66A5A" w:rsidRDefault="00A66A5A" w:rsidP="00A66A5A">
      <w:pPr>
        <w:rPr>
          <w:b/>
        </w:rPr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Other Services (name it): </w:t>
      </w:r>
    </w:p>
    <w:p w14:paraId="1A54A32A" w14:textId="77777777" w:rsidR="00A66A5A" w:rsidRDefault="00A66A5A" w:rsidP="00A66A5A">
      <w:pPr>
        <w:rPr>
          <w:rFonts w:eastAsia="Times New Roman"/>
          <w:color w:val="000000"/>
        </w:rPr>
      </w:pPr>
    </w:p>
    <w:p w14:paraId="3C0447B8" w14:textId="77777777" w:rsidR="00A66A5A" w:rsidRPr="00A619AB" w:rsidRDefault="00A66A5A" w:rsidP="00A66A5A">
      <w:pPr>
        <w:jc w:val="both"/>
      </w:pPr>
      <w:r>
        <w:rPr>
          <w:rFonts w:eastAsia="Times New Roman"/>
          <w:color w:val="000000"/>
        </w:rPr>
        <w:t xml:space="preserve">3. </w:t>
      </w:r>
      <w:r w:rsidRPr="00993260">
        <w:rPr>
          <w:rFonts w:eastAsia="Times New Roman"/>
          <w:color w:val="000000"/>
        </w:rPr>
        <w:t xml:space="preserve">Do you </w:t>
      </w:r>
      <w:r>
        <w:rPr>
          <w:rFonts w:eastAsia="Times New Roman"/>
          <w:color w:val="000000"/>
        </w:rPr>
        <w:t xml:space="preserve">have standards for quality assessments of </w:t>
      </w:r>
      <w:r w:rsidRPr="00C02386">
        <w:rPr>
          <w:rFonts w:eastAsia="Times New Roman"/>
          <w:color w:val="000000"/>
        </w:rPr>
        <w:t xml:space="preserve">mobile </w:t>
      </w:r>
      <w:r>
        <w:rPr>
          <w:rFonts w:eastAsia="Times New Roman"/>
          <w:color w:val="000000"/>
        </w:rPr>
        <w:t>services</w:t>
      </w:r>
      <w:r w:rsidRPr="00993260">
        <w:rPr>
          <w:rFonts w:eastAsia="Times New Roman"/>
          <w:color w:val="000000"/>
        </w:rPr>
        <w:t>?</w:t>
      </w:r>
      <w:r>
        <w:rPr>
          <w:rFonts w:eastAsia="Times New Roman"/>
          <w:color w:val="000000"/>
        </w:rPr>
        <w:t xml:space="preserve"> </w:t>
      </w:r>
      <w:r w:rsidRPr="00A619AB">
        <w:rPr>
          <w:rFonts w:eastAsia="Times New Roman"/>
        </w:rPr>
        <w:t xml:space="preserve">If yes, proceed to 3.1. </w:t>
      </w:r>
      <w:r w:rsidRPr="00A619AB">
        <w:t xml:space="preserve">If the answer is no please skip to question number 3.5. </w:t>
      </w:r>
    </w:p>
    <w:p w14:paraId="0B401FEF" w14:textId="77777777" w:rsidR="00A66A5A" w:rsidRDefault="00A66A5A" w:rsidP="00A66A5A">
      <w:pPr>
        <w:jc w:val="both"/>
        <w:rPr>
          <w:rFonts w:eastAsia="Times New Roman"/>
          <w:color w:val="000000"/>
        </w:rPr>
      </w:pPr>
    </w:p>
    <w:p w14:paraId="3615CF3E" w14:textId="77777777" w:rsidR="00A66A5A" w:rsidRPr="00993260" w:rsidRDefault="00A66A5A" w:rsidP="00A66A5A">
      <w:pPr>
        <w:pStyle w:val="ListParagraph1"/>
        <w:spacing w:before="120" w:after="40"/>
        <w:ind w:left="0"/>
        <w:contextualSpacing/>
        <w:jc w:val="both"/>
        <w:rPr>
          <w:sz w:val="24"/>
          <w:szCs w:val="24"/>
          <w:lang w:val="en-US"/>
        </w:rPr>
      </w:pPr>
      <w:r w:rsidRPr="0099326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rPr>
          <w:sz w:val="24"/>
          <w:szCs w:val="24"/>
        </w:rPr>
        <w:instrText xml:space="preserve"> FORMCHECKBOX </w:instrText>
      </w:r>
      <w:r w:rsidR="006B1415">
        <w:rPr>
          <w:sz w:val="24"/>
          <w:szCs w:val="24"/>
        </w:rPr>
      </w:r>
      <w:r w:rsidR="006B1415">
        <w:rPr>
          <w:sz w:val="24"/>
          <w:szCs w:val="24"/>
        </w:rPr>
        <w:fldChar w:fldCharType="separate"/>
      </w:r>
      <w:r w:rsidRPr="00993260">
        <w:rPr>
          <w:sz w:val="24"/>
          <w:szCs w:val="24"/>
        </w:rPr>
        <w:fldChar w:fldCharType="end"/>
      </w:r>
      <w:r w:rsidRPr="00993260">
        <w:rPr>
          <w:sz w:val="24"/>
          <w:szCs w:val="24"/>
        </w:rPr>
        <w:t xml:space="preserve"> </w:t>
      </w:r>
      <w:r w:rsidRPr="00993260">
        <w:rPr>
          <w:sz w:val="24"/>
          <w:szCs w:val="24"/>
          <w:lang w:val="en-US"/>
        </w:rPr>
        <w:t xml:space="preserve"> Yes </w:t>
      </w:r>
    </w:p>
    <w:p w14:paraId="7DBC58EF" w14:textId="77777777" w:rsidR="00A66A5A" w:rsidRDefault="00A66A5A" w:rsidP="00A66A5A">
      <w:pPr>
        <w:spacing w:before="40" w:after="12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 No</w:t>
      </w:r>
    </w:p>
    <w:p w14:paraId="3DACB9BE" w14:textId="77777777" w:rsidR="00A66A5A" w:rsidRPr="00561F3E" w:rsidRDefault="00A66A5A" w:rsidP="00A66A5A">
      <w:pPr>
        <w:spacing w:before="40" w:after="120"/>
        <w:rPr>
          <w:b/>
        </w:rPr>
      </w:pPr>
      <w:r w:rsidRPr="00561F3E">
        <w:rPr>
          <w:b/>
        </w:rPr>
        <w:t>A. If answer is “Yes”</w:t>
      </w:r>
    </w:p>
    <w:p w14:paraId="265E7DAD" w14:textId="77777777" w:rsidR="00A66A5A" w:rsidRDefault="00A66A5A" w:rsidP="00A66A5A">
      <w:pPr>
        <w:spacing w:before="40" w:after="40"/>
      </w:pPr>
      <w:r>
        <w:t>3.1 Voice</w:t>
      </w:r>
      <w:r w:rsidRPr="00993260">
        <w:t xml:space="preserve"> </w:t>
      </w:r>
      <w:r>
        <w:t xml:space="preserve">telephony </w:t>
      </w:r>
      <w:r w:rsidRPr="00993260">
        <w:t>services</w:t>
      </w:r>
      <w:r>
        <w:t xml:space="preserve"> on 2G/3G/4G networks</w:t>
      </w:r>
    </w:p>
    <w:p w14:paraId="12080C8C" w14:textId="77777777" w:rsidR="00A66A5A" w:rsidRDefault="00A66A5A" w:rsidP="00A66A5A">
      <w:pPr>
        <w:spacing w:before="40" w:after="40"/>
      </w:pPr>
      <w:r>
        <w:t>3.1.1 Essential KPI and assessment method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08"/>
        <w:gridCol w:w="1701"/>
        <w:gridCol w:w="1701"/>
        <w:gridCol w:w="1134"/>
      </w:tblGrid>
      <w:tr w:rsidR="00A66A5A" w:rsidRPr="009C7FEF" w14:paraId="1ECAA7FF" w14:textId="77777777" w:rsidTr="0016504C">
        <w:tc>
          <w:tcPr>
            <w:tcW w:w="2978" w:type="dxa"/>
            <w:shd w:val="clear" w:color="auto" w:fill="auto"/>
          </w:tcPr>
          <w:p w14:paraId="59D62143" w14:textId="77777777" w:rsidR="00A66A5A" w:rsidRPr="00C47C9E" w:rsidRDefault="00A66A5A" w:rsidP="0016504C">
            <w:pPr>
              <w:tabs>
                <w:tab w:val="right" w:pos="2727"/>
              </w:tabs>
              <w:spacing w:before="40" w:after="120"/>
              <w:rPr>
                <w:b/>
              </w:rPr>
            </w:pPr>
            <w:r w:rsidRPr="00C47C9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298CA" wp14:editId="205C4E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14605</wp:posOffset>
                      </wp:positionV>
                      <wp:extent cx="1876425" cy="429895"/>
                      <wp:effectExtent l="12700" t="14605" r="53975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298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FC9BD" w14:textId="77777777" w:rsidR="00A66A5A" w:rsidRPr="008647F9" w:rsidRDefault="00A66A5A" w:rsidP="00A66A5A">
                                  <w:pPr>
                                    <w:ind w:left="-284"/>
                                    <w:rPr>
                                      <w:sz w:val="22"/>
                                    </w:rPr>
                                  </w:pPr>
                                  <w:r w:rsidRPr="008647F9">
                                    <w:rPr>
                                      <w:sz w:val="22"/>
                                    </w:rPr>
                                    <w:t xml:space="preserve">      </w:t>
                                  </w:r>
                                  <w:r w:rsidRPr="008647F9">
                                    <w:rPr>
                                      <w:b/>
                                      <w:sz w:val="22"/>
                                    </w:rPr>
                                    <w:t>KPI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298CA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2" o:spid="_x0000_s1026" type="#_x0000_t6" style="position:absolute;margin-left:-5pt;margin-top:1.15pt;width:147.7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">
                      <v:textbox inset=".5mm,.3mm,.5mm,.3mm">
                        <w:txbxContent>
                          <w:p w14:paraId="2F0FC9BD" w14:textId="77777777" w:rsidR="00A66A5A" w:rsidRPr="008647F9" w:rsidRDefault="00A66A5A" w:rsidP="00A66A5A">
                            <w:pPr>
                              <w:ind w:left="-284"/>
                              <w:rPr>
                                <w:sz w:val="22"/>
                              </w:rPr>
                            </w:pPr>
                            <w:r w:rsidRPr="008647F9">
                              <w:rPr>
                                <w:sz w:val="22"/>
                              </w:rPr>
                              <w:t xml:space="preserve">      </w:t>
                            </w:r>
                            <w:r w:rsidRPr="008647F9">
                              <w:rPr>
                                <w:b/>
                                <w:sz w:val="22"/>
                              </w:rPr>
                              <w:t>KPI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C9E">
              <w:rPr>
                <w:b/>
              </w:rPr>
              <w:tab/>
              <w:t>Method</w:t>
            </w:r>
          </w:p>
        </w:tc>
        <w:tc>
          <w:tcPr>
            <w:tcW w:w="1808" w:type="dxa"/>
            <w:shd w:val="clear" w:color="auto" w:fill="auto"/>
          </w:tcPr>
          <w:p w14:paraId="06C6EF58" w14:textId="77777777" w:rsidR="00A66A5A" w:rsidRPr="009C7FEF" w:rsidRDefault="00A66A5A" w:rsidP="0016504C">
            <w:pPr>
              <w:spacing w:before="40" w:after="120"/>
            </w:pPr>
            <w:r w:rsidRPr="009C7FEF">
              <w:t>Customer opinion survey</w:t>
            </w:r>
          </w:p>
        </w:tc>
        <w:tc>
          <w:tcPr>
            <w:tcW w:w="1701" w:type="dxa"/>
            <w:shd w:val="clear" w:color="auto" w:fill="auto"/>
          </w:tcPr>
          <w:p w14:paraId="18D8BAF1" w14:textId="77777777" w:rsidR="00A66A5A" w:rsidRPr="009C7FEF" w:rsidRDefault="00A66A5A" w:rsidP="0016504C">
            <w:pPr>
              <w:spacing w:before="40" w:after="120"/>
            </w:pPr>
            <w:r w:rsidRPr="009C7FEF">
              <w:t>Objectively measurement</w:t>
            </w:r>
          </w:p>
        </w:tc>
        <w:tc>
          <w:tcPr>
            <w:tcW w:w="1701" w:type="dxa"/>
            <w:shd w:val="clear" w:color="auto" w:fill="auto"/>
          </w:tcPr>
          <w:p w14:paraId="4D887D53" w14:textId="77777777" w:rsidR="00A66A5A" w:rsidRPr="009C7FEF" w:rsidRDefault="00A66A5A" w:rsidP="0016504C">
            <w:pPr>
              <w:spacing w:before="40" w:after="120"/>
            </w:pPr>
            <w:r w:rsidRPr="009C7FEF">
              <w:t>Crowdsourcing application</w:t>
            </w:r>
          </w:p>
        </w:tc>
        <w:tc>
          <w:tcPr>
            <w:tcW w:w="1134" w:type="dxa"/>
            <w:shd w:val="clear" w:color="auto" w:fill="auto"/>
          </w:tcPr>
          <w:p w14:paraId="083CC7D3" w14:textId="77777777" w:rsidR="00A66A5A" w:rsidRPr="009C7FEF" w:rsidRDefault="00A66A5A" w:rsidP="0016504C">
            <w:pPr>
              <w:spacing w:before="40" w:after="120"/>
            </w:pPr>
            <w:r w:rsidRPr="009C7FEF">
              <w:t>Others</w:t>
            </w:r>
          </w:p>
        </w:tc>
      </w:tr>
      <w:tr w:rsidR="00A66A5A" w:rsidRPr="009C7FEF" w14:paraId="607370C1" w14:textId="77777777" w:rsidTr="0016504C">
        <w:tc>
          <w:tcPr>
            <w:tcW w:w="2978" w:type="dxa"/>
            <w:shd w:val="clear" w:color="auto" w:fill="auto"/>
          </w:tcPr>
          <w:p w14:paraId="5F9B99E8" w14:textId="77777777" w:rsidR="00A66A5A" w:rsidRPr="009C7FEF" w:rsidRDefault="00A66A5A" w:rsidP="0016504C">
            <w:pPr>
              <w:spacing w:before="40" w:after="120"/>
            </w:pPr>
            <w:r w:rsidRPr="009C7FEF">
              <w:t>Quality of conversation in term of user perception</w:t>
            </w:r>
          </w:p>
        </w:tc>
        <w:tc>
          <w:tcPr>
            <w:tcW w:w="1808" w:type="dxa"/>
            <w:shd w:val="clear" w:color="auto" w:fill="auto"/>
          </w:tcPr>
          <w:p w14:paraId="6F6C42ED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75082A6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6B0DA38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9B06DDC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  <w:tr w:rsidR="00A66A5A" w:rsidRPr="009C7FEF" w14:paraId="2FA1F1A5" w14:textId="77777777" w:rsidTr="0016504C">
        <w:tc>
          <w:tcPr>
            <w:tcW w:w="2978" w:type="dxa"/>
            <w:shd w:val="clear" w:color="auto" w:fill="auto"/>
          </w:tcPr>
          <w:p w14:paraId="47B9822A" w14:textId="77777777" w:rsidR="00A66A5A" w:rsidRPr="009C7FEF" w:rsidRDefault="00A66A5A" w:rsidP="0016504C">
            <w:pPr>
              <w:spacing w:before="40" w:after="120"/>
            </w:pPr>
            <w:r w:rsidRPr="009C7FEF">
              <w:t>Service Coverage</w:t>
            </w:r>
          </w:p>
        </w:tc>
        <w:tc>
          <w:tcPr>
            <w:tcW w:w="1808" w:type="dxa"/>
            <w:shd w:val="clear" w:color="auto" w:fill="auto"/>
          </w:tcPr>
          <w:p w14:paraId="32C36E3C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E68B9A2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2A63A6A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E1BE80D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  <w:tr w:rsidR="00A66A5A" w:rsidRPr="009C7FEF" w14:paraId="69B29289" w14:textId="77777777" w:rsidTr="0016504C">
        <w:tc>
          <w:tcPr>
            <w:tcW w:w="2978" w:type="dxa"/>
            <w:shd w:val="clear" w:color="auto" w:fill="auto"/>
          </w:tcPr>
          <w:p w14:paraId="72C0263F" w14:textId="77777777" w:rsidR="00A66A5A" w:rsidRPr="009C7FEF" w:rsidRDefault="00A66A5A" w:rsidP="0016504C">
            <w:pPr>
              <w:spacing w:before="40" w:after="120"/>
            </w:pPr>
            <w:r w:rsidRPr="009C7FEF">
              <w:t>Dropped call ratio</w:t>
            </w:r>
          </w:p>
        </w:tc>
        <w:tc>
          <w:tcPr>
            <w:tcW w:w="1808" w:type="dxa"/>
            <w:shd w:val="clear" w:color="auto" w:fill="auto"/>
          </w:tcPr>
          <w:p w14:paraId="508840E3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62E2400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327DE2F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835DCF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  <w:tr w:rsidR="00A66A5A" w:rsidRPr="009C7FEF" w14:paraId="00D51D59" w14:textId="77777777" w:rsidTr="0016504C">
        <w:tc>
          <w:tcPr>
            <w:tcW w:w="2978" w:type="dxa"/>
            <w:shd w:val="clear" w:color="auto" w:fill="auto"/>
          </w:tcPr>
          <w:p w14:paraId="02AC756E" w14:textId="77777777" w:rsidR="00A66A5A" w:rsidRPr="009C7FEF" w:rsidRDefault="00A66A5A" w:rsidP="0016504C">
            <w:pPr>
              <w:spacing w:before="40" w:after="120"/>
            </w:pPr>
            <w:r w:rsidRPr="009C7FEF">
              <w:t>Others</w:t>
            </w:r>
          </w:p>
        </w:tc>
        <w:tc>
          <w:tcPr>
            <w:tcW w:w="1808" w:type="dxa"/>
            <w:shd w:val="clear" w:color="auto" w:fill="auto"/>
          </w:tcPr>
          <w:p w14:paraId="2D21A067" w14:textId="77777777" w:rsidR="00A66A5A" w:rsidRPr="009C7FEF" w:rsidRDefault="00A66A5A" w:rsidP="0016504C">
            <w:pPr>
              <w:spacing w:before="40" w:after="40"/>
            </w:pPr>
          </w:p>
        </w:tc>
        <w:tc>
          <w:tcPr>
            <w:tcW w:w="1701" w:type="dxa"/>
            <w:shd w:val="clear" w:color="auto" w:fill="auto"/>
          </w:tcPr>
          <w:p w14:paraId="7E136609" w14:textId="77777777" w:rsidR="00A66A5A" w:rsidRPr="009C7FEF" w:rsidRDefault="00A66A5A" w:rsidP="0016504C">
            <w:pPr>
              <w:spacing w:before="40" w:after="40"/>
            </w:pPr>
          </w:p>
        </w:tc>
        <w:tc>
          <w:tcPr>
            <w:tcW w:w="1701" w:type="dxa"/>
            <w:shd w:val="clear" w:color="auto" w:fill="auto"/>
          </w:tcPr>
          <w:p w14:paraId="493E5736" w14:textId="77777777" w:rsidR="00A66A5A" w:rsidRPr="009C7FEF" w:rsidRDefault="00A66A5A" w:rsidP="0016504C">
            <w:pPr>
              <w:spacing w:before="40" w:after="40"/>
            </w:pPr>
          </w:p>
        </w:tc>
        <w:tc>
          <w:tcPr>
            <w:tcW w:w="1134" w:type="dxa"/>
            <w:shd w:val="clear" w:color="auto" w:fill="auto"/>
          </w:tcPr>
          <w:p w14:paraId="77A49AD7" w14:textId="77777777" w:rsidR="00A66A5A" w:rsidRPr="009C7FEF" w:rsidRDefault="00A66A5A" w:rsidP="0016504C">
            <w:pPr>
              <w:spacing w:before="40" w:after="40"/>
            </w:pPr>
          </w:p>
        </w:tc>
      </w:tr>
    </w:tbl>
    <w:p w14:paraId="0AD3A0E6" w14:textId="77777777" w:rsidR="00A66A5A" w:rsidRDefault="00A66A5A" w:rsidP="00A66A5A">
      <w:pPr>
        <w:spacing w:before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3.1.2. For quality of conversation, which standards are used for quality of conversation metrics?</w:t>
      </w:r>
    </w:p>
    <w:p w14:paraId="73D0488E" w14:textId="77777777" w:rsidR="00A66A5A" w:rsidRPr="00993260" w:rsidRDefault="00A66A5A" w:rsidP="00A66A5A">
      <w:r w:rsidRPr="00B71851">
        <w:rPr>
          <w:rFonts w:eastAsia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1851">
        <w:rPr>
          <w:rFonts w:eastAsia="Times New Roman"/>
          <w:color w:val="000000"/>
        </w:rPr>
        <w:instrText xml:space="preserve"> FORMCHECKBOX </w:instrText>
      </w:r>
      <w:r w:rsidR="006B1415">
        <w:rPr>
          <w:rFonts w:eastAsia="Times New Roman"/>
          <w:color w:val="000000"/>
        </w:rPr>
      </w:r>
      <w:r w:rsidR="006B1415">
        <w:rPr>
          <w:rFonts w:eastAsia="Times New Roman"/>
          <w:color w:val="000000"/>
        </w:rPr>
        <w:fldChar w:fldCharType="separate"/>
      </w:r>
      <w:r w:rsidRPr="00B71851">
        <w:rPr>
          <w:rFonts w:eastAsia="Times New Roman"/>
          <w:color w:val="000000"/>
        </w:rPr>
        <w:fldChar w:fldCharType="end"/>
      </w:r>
      <w:r w:rsidRPr="00B7185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Subjectively evaluation:  </w:t>
      </w:r>
      <w:r>
        <w:t>ITU-T Recs P. 800, P.800.1, P. 831, P. 832 that provide MOS (1 - 5 scores) for voice call quality assessment</w:t>
      </w:r>
    </w:p>
    <w:p w14:paraId="187C735A" w14:textId="77777777" w:rsidR="00A66A5A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</w:t>
      </w:r>
      <w:r>
        <w:t>Objectively evaluation and intrusive method: ITU-T Recs P.862/P.863</w:t>
      </w:r>
    </w:p>
    <w:p w14:paraId="7961F405" w14:textId="77777777" w:rsidR="00A66A5A" w:rsidRDefault="00A66A5A" w:rsidP="00A66A5A">
      <w:pPr>
        <w:rPr>
          <w:rFonts w:eastAsia="Times New Roman"/>
          <w:color w:val="000000"/>
        </w:rPr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</w:t>
      </w:r>
      <w:r>
        <w:t>Objectively evaluation and non-intrusive:</w:t>
      </w:r>
      <w:r>
        <w:rPr>
          <w:rFonts w:eastAsia="Times New Roman"/>
          <w:color w:val="000000"/>
        </w:rPr>
        <w:t xml:space="preserve"> ITU-T Recs P.561/P.562</w:t>
      </w:r>
    </w:p>
    <w:p w14:paraId="3DDB6A17" w14:textId="77777777" w:rsidR="00A66A5A" w:rsidRPr="00B71851" w:rsidRDefault="00A66A5A" w:rsidP="00A66A5A">
      <w:pPr>
        <w:rPr>
          <w:rFonts w:eastAsia="Times New Roman"/>
          <w:color w:val="000000"/>
        </w:rPr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>
        <w:t xml:space="preserve"> Other (specified)</w:t>
      </w:r>
    </w:p>
    <w:p w14:paraId="2581BB04" w14:textId="77777777" w:rsidR="00A66A5A" w:rsidRDefault="00A66A5A" w:rsidP="00A66A5A">
      <w:pPr>
        <w:rPr>
          <w:rFonts w:eastAsia="Times New Roman"/>
          <w:color w:val="000000"/>
        </w:rPr>
      </w:pPr>
    </w:p>
    <w:p w14:paraId="7CF046F1" w14:textId="77777777" w:rsidR="00A66A5A" w:rsidRDefault="00A66A5A" w:rsidP="00A66A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 Streaming v</w:t>
      </w:r>
      <w:r w:rsidRPr="00B71851">
        <w:rPr>
          <w:rFonts w:eastAsia="Times New Roman"/>
          <w:color w:val="000000"/>
        </w:rPr>
        <w:t>ideo service on 3G/4G network</w:t>
      </w:r>
      <w:r>
        <w:rPr>
          <w:rFonts w:eastAsia="Times New Roman"/>
          <w:color w:val="000000"/>
        </w:rPr>
        <w:t>s</w:t>
      </w:r>
    </w:p>
    <w:p w14:paraId="28DE7820" w14:textId="77777777" w:rsidR="00A66A5A" w:rsidRDefault="00A66A5A" w:rsidP="00A66A5A">
      <w:pPr>
        <w:spacing w:before="40" w:after="40"/>
      </w:pPr>
      <w:r>
        <w:t>3.2.1 Essential KPI and assessment method</w:t>
      </w:r>
    </w:p>
    <w:p w14:paraId="79B31EBD" w14:textId="77777777" w:rsidR="00A66A5A" w:rsidRDefault="00A66A5A" w:rsidP="00A66A5A">
      <w:pPr>
        <w:spacing w:before="40" w:after="4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08"/>
        <w:gridCol w:w="1701"/>
        <w:gridCol w:w="1701"/>
        <w:gridCol w:w="1134"/>
      </w:tblGrid>
      <w:tr w:rsidR="00A66A5A" w:rsidRPr="009C7FEF" w14:paraId="53DBF98A" w14:textId="77777777" w:rsidTr="0016504C">
        <w:tc>
          <w:tcPr>
            <w:tcW w:w="2978" w:type="dxa"/>
            <w:shd w:val="clear" w:color="auto" w:fill="auto"/>
          </w:tcPr>
          <w:p w14:paraId="67AF44EC" w14:textId="77777777" w:rsidR="00A66A5A" w:rsidRPr="00C47C9E" w:rsidRDefault="00A66A5A" w:rsidP="0016504C">
            <w:pPr>
              <w:tabs>
                <w:tab w:val="right" w:pos="2727"/>
              </w:tabs>
              <w:spacing w:before="40" w:after="120"/>
              <w:rPr>
                <w:b/>
              </w:rPr>
            </w:pPr>
            <w:r w:rsidRPr="00C47C9E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34620" wp14:editId="7FE5F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14605</wp:posOffset>
                      </wp:positionV>
                      <wp:extent cx="1876425" cy="429895"/>
                      <wp:effectExtent l="12700" t="14605" r="5397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298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30F80" w14:textId="77777777" w:rsidR="00A66A5A" w:rsidRPr="008647F9" w:rsidRDefault="00A66A5A" w:rsidP="00A66A5A">
                                  <w:pPr>
                                    <w:ind w:left="-284"/>
                                    <w:rPr>
                                      <w:sz w:val="22"/>
                                    </w:rPr>
                                  </w:pPr>
                                  <w:r w:rsidRPr="008647F9">
                                    <w:rPr>
                                      <w:sz w:val="22"/>
                                    </w:rPr>
                                    <w:t xml:space="preserve">      </w:t>
                                  </w:r>
                                  <w:r w:rsidRPr="008647F9">
                                    <w:rPr>
                                      <w:b/>
                                      <w:sz w:val="22"/>
                                    </w:rPr>
                                    <w:t>KPI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4620" id="AutoShape 3" o:spid="_x0000_s1027" type="#_x0000_t6" style="position:absolute;margin-left:-5pt;margin-top:1.15pt;width:147.7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">
                      <v:textbox inset=".5mm,.3mm,.5mm,.3mm">
                        <w:txbxContent>
                          <w:p w14:paraId="27330F80" w14:textId="77777777" w:rsidR="00A66A5A" w:rsidRPr="008647F9" w:rsidRDefault="00A66A5A" w:rsidP="00A66A5A">
                            <w:pPr>
                              <w:ind w:left="-284"/>
                              <w:rPr>
                                <w:sz w:val="22"/>
                              </w:rPr>
                            </w:pPr>
                            <w:r w:rsidRPr="008647F9">
                              <w:rPr>
                                <w:sz w:val="22"/>
                              </w:rPr>
                              <w:t xml:space="preserve">      </w:t>
                            </w:r>
                            <w:r w:rsidRPr="008647F9">
                              <w:rPr>
                                <w:b/>
                                <w:sz w:val="22"/>
                              </w:rPr>
                              <w:t>KPI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C9E">
              <w:rPr>
                <w:b/>
              </w:rPr>
              <w:tab/>
              <w:t>Method</w:t>
            </w:r>
          </w:p>
        </w:tc>
        <w:tc>
          <w:tcPr>
            <w:tcW w:w="1808" w:type="dxa"/>
            <w:shd w:val="clear" w:color="auto" w:fill="auto"/>
          </w:tcPr>
          <w:p w14:paraId="49F41323" w14:textId="77777777" w:rsidR="00A66A5A" w:rsidRPr="009C7FEF" w:rsidRDefault="00A66A5A" w:rsidP="0016504C">
            <w:pPr>
              <w:spacing w:before="40" w:after="120"/>
            </w:pPr>
            <w:r w:rsidRPr="009C7FEF">
              <w:t>Customer opinion survey</w:t>
            </w:r>
          </w:p>
        </w:tc>
        <w:tc>
          <w:tcPr>
            <w:tcW w:w="1701" w:type="dxa"/>
            <w:shd w:val="clear" w:color="auto" w:fill="auto"/>
          </w:tcPr>
          <w:p w14:paraId="338EF3CB" w14:textId="77777777" w:rsidR="00A66A5A" w:rsidRPr="009C7FEF" w:rsidRDefault="00A66A5A" w:rsidP="0016504C">
            <w:pPr>
              <w:spacing w:before="40" w:after="120"/>
            </w:pPr>
            <w:r w:rsidRPr="009C7FEF">
              <w:t>Objectively measurement</w:t>
            </w:r>
          </w:p>
        </w:tc>
        <w:tc>
          <w:tcPr>
            <w:tcW w:w="1701" w:type="dxa"/>
            <w:shd w:val="clear" w:color="auto" w:fill="auto"/>
          </w:tcPr>
          <w:p w14:paraId="0E2B7091" w14:textId="77777777" w:rsidR="00A66A5A" w:rsidRPr="009C7FEF" w:rsidRDefault="00A66A5A" w:rsidP="0016504C">
            <w:pPr>
              <w:spacing w:before="40" w:after="120"/>
            </w:pPr>
            <w:r w:rsidRPr="009C7FEF">
              <w:t>Crowdsourcing application</w:t>
            </w:r>
          </w:p>
        </w:tc>
        <w:tc>
          <w:tcPr>
            <w:tcW w:w="1134" w:type="dxa"/>
            <w:shd w:val="clear" w:color="auto" w:fill="auto"/>
          </w:tcPr>
          <w:p w14:paraId="338A1888" w14:textId="77777777" w:rsidR="00A66A5A" w:rsidRPr="009C7FEF" w:rsidRDefault="00A66A5A" w:rsidP="0016504C">
            <w:pPr>
              <w:spacing w:before="40" w:after="120"/>
            </w:pPr>
            <w:r w:rsidRPr="009C7FEF">
              <w:t>Others</w:t>
            </w:r>
          </w:p>
        </w:tc>
      </w:tr>
      <w:tr w:rsidR="00A66A5A" w:rsidRPr="009C7FEF" w14:paraId="087B0660" w14:textId="77777777" w:rsidTr="0016504C">
        <w:tc>
          <w:tcPr>
            <w:tcW w:w="2978" w:type="dxa"/>
            <w:shd w:val="clear" w:color="auto" w:fill="auto"/>
          </w:tcPr>
          <w:p w14:paraId="3900FEB2" w14:textId="77777777" w:rsidR="00A66A5A" w:rsidRPr="009C7FEF" w:rsidRDefault="00A66A5A" w:rsidP="0016504C">
            <w:pPr>
              <w:spacing w:before="40" w:after="120"/>
            </w:pPr>
            <w:r w:rsidRPr="001C557D">
              <w:t>Quality of video streaming</w:t>
            </w:r>
          </w:p>
        </w:tc>
        <w:tc>
          <w:tcPr>
            <w:tcW w:w="1808" w:type="dxa"/>
            <w:shd w:val="clear" w:color="auto" w:fill="auto"/>
          </w:tcPr>
          <w:p w14:paraId="7637CB27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57984DD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1EAE921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BFE5E79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  <w:tr w:rsidR="00A66A5A" w:rsidRPr="009C7FEF" w14:paraId="243316BB" w14:textId="77777777" w:rsidTr="0016504C">
        <w:tc>
          <w:tcPr>
            <w:tcW w:w="2978" w:type="dxa"/>
            <w:shd w:val="clear" w:color="auto" w:fill="auto"/>
          </w:tcPr>
          <w:p w14:paraId="72B0501D" w14:textId="77777777" w:rsidR="00A66A5A" w:rsidRPr="009C7FEF" w:rsidRDefault="00A66A5A" w:rsidP="0016504C">
            <w:pPr>
              <w:spacing w:before="40" w:after="120"/>
            </w:pPr>
            <w:r w:rsidRPr="009C7FEF">
              <w:t>Service Coverage</w:t>
            </w:r>
          </w:p>
        </w:tc>
        <w:tc>
          <w:tcPr>
            <w:tcW w:w="1808" w:type="dxa"/>
            <w:shd w:val="clear" w:color="auto" w:fill="auto"/>
          </w:tcPr>
          <w:p w14:paraId="70FE4E0F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7059A72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D02F123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E9B0DE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  <w:tr w:rsidR="00A66A5A" w:rsidRPr="009C7FEF" w14:paraId="36709372" w14:textId="77777777" w:rsidTr="0016504C">
        <w:tc>
          <w:tcPr>
            <w:tcW w:w="2978" w:type="dxa"/>
            <w:shd w:val="clear" w:color="auto" w:fill="auto"/>
          </w:tcPr>
          <w:p w14:paraId="56FBD4DB" w14:textId="77777777" w:rsidR="00A66A5A" w:rsidRPr="009C7FEF" w:rsidRDefault="00A66A5A" w:rsidP="0016504C">
            <w:pPr>
              <w:spacing w:before="40" w:after="120"/>
            </w:pPr>
            <w:r w:rsidRPr="009C7FEF">
              <w:t>Others</w:t>
            </w:r>
          </w:p>
        </w:tc>
        <w:tc>
          <w:tcPr>
            <w:tcW w:w="1808" w:type="dxa"/>
            <w:shd w:val="clear" w:color="auto" w:fill="auto"/>
          </w:tcPr>
          <w:p w14:paraId="1621B5FF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64FA259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813F856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12AEA70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</w:tbl>
    <w:p w14:paraId="17D53E34" w14:textId="77777777" w:rsidR="00A66A5A" w:rsidRDefault="00A66A5A" w:rsidP="00A66A5A">
      <w:pPr>
        <w:spacing w:before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3.2.2. For quality of streaming video, which standards used for assessment?</w:t>
      </w:r>
    </w:p>
    <w:p w14:paraId="6AC016CC" w14:textId="77777777" w:rsidR="00A66A5A" w:rsidRPr="009C5936" w:rsidRDefault="00A66A5A" w:rsidP="00A66A5A">
      <w:r w:rsidRPr="00B71851">
        <w:rPr>
          <w:rFonts w:eastAsia="Times New Roman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5936">
        <w:rPr>
          <w:rFonts w:eastAsia="Times New Roman"/>
          <w:color w:val="000000"/>
        </w:rPr>
        <w:instrText xml:space="preserve"> FORMCHECKBOX </w:instrText>
      </w:r>
      <w:r w:rsidR="006B1415">
        <w:rPr>
          <w:rFonts w:eastAsia="Times New Roman"/>
          <w:color w:val="000000"/>
        </w:rPr>
      </w:r>
      <w:r w:rsidR="006B1415">
        <w:rPr>
          <w:rFonts w:eastAsia="Times New Roman"/>
          <w:color w:val="000000"/>
        </w:rPr>
        <w:fldChar w:fldCharType="separate"/>
      </w:r>
      <w:r w:rsidRPr="00B71851">
        <w:rPr>
          <w:rFonts w:eastAsia="Times New Roman"/>
          <w:color w:val="000000"/>
        </w:rPr>
        <w:fldChar w:fldCharType="end"/>
      </w:r>
      <w:r w:rsidRPr="009C593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Subjectively evaluation:  </w:t>
      </w:r>
      <w:r>
        <w:t>ITU-T Recs P. 910 that provide MOS (1 - 5 scores) for video quality assessment</w:t>
      </w:r>
      <w:r>
        <w:rPr>
          <w:rFonts w:eastAsia="Times New Roman"/>
          <w:color w:val="000000"/>
        </w:rPr>
        <w:t xml:space="preserve"> </w:t>
      </w:r>
    </w:p>
    <w:p w14:paraId="66377C01" w14:textId="77777777" w:rsidR="00A66A5A" w:rsidRPr="009C5936" w:rsidRDefault="00A66A5A" w:rsidP="00A66A5A"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5936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C5936">
        <w:t xml:space="preserve"> Objective perceptual method and full reference: ITU-T Rec J.247</w:t>
      </w:r>
    </w:p>
    <w:p w14:paraId="799D21C7" w14:textId="77777777" w:rsidR="00A66A5A" w:rsidRPr="009C5936" w:rsidRDefault="00A66A5A" w:rsidP="00A66A5A"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5936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C5936">
        <w:t xml:space="preserve"> Objective perceptual method and hybrid non reference: ITU-T Rec J.343.1</w:t>
      </w:r>
    </w:p>
    <w:p w14:paraId="1C25D352" w14:textId="77777777" w:rsidR="00A66A5A" w:rsidRPr="00B71851" w:rsidRDefault="00A66A5A" w:rsidP="00A66A5A">
      <w:pPr>
        <w:rPr>
          <w:rFonts w:eastAsia="Times New Roman"/>
          <w:color w:val="000000"/>
        </w:rPr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>
        <w:t xml:space="preserve"> Other (specified)</w:t>
      </w:r>
    </w:p>
    <w:p w14:paraId="7228A65C" w14:textId="77777777" w:rsidR="00A66A5A" w:rsidRPr="00B71851" w:rsidRDefault="00A66A5A" w:rsidP="00A66A5A">
      <w:pPr>
        <w:rPr>
          <w:rFonts w:eastAsia="Times New Roman"/>
          <w:color w:val="000000"/>
        </w:rPr>
      </w:pPr>
    </w:p>
    <w:p w14:paraId="1C8312C2" w14:textId="77777777" w:rsidR="00A66A5A" w:rsidRDefault="00A66A5A" w:rsidP="00A66A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3.3</w:t>
      </w:r>
      <w:r w:rsidRPr="00B71851">
        <w:rPr>
          <w:rFonts w:eastAsia="Times New Roman"/>
          <w:color w:val="000000"/>
        </w:rPr>
        <w:t>. Internet access service on 3G/4G network</w:t>
      </w:r>
      <w:r>
        <w:rPr>
          <w:rFonts w:eastAsia="Times New Roman"/>
          <w:color w:val="000000"/>
        </w:rPr>
        <w:t>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08"/>
        <w:gridCol w:w="1701"/>
        <w:gridCol w:w="1701"/>
        <w:gridCol w:w="1134"/>
      </w:tblGrid>
      <w:tr w:rsidR="00A66A5A" w:rsidRPr="009C7FEF" w14:paraId="1512B30D" w14:textId="77777777" w:rsidTr="0016504C">
        <w:tc>
          <w:tcPr>
            <w:tcW w:w="2978" w:type="dxa"/>
            <w:shd w:val="clear" w:color="auto" w:fill="auto"/>
          </w:tcPr>
          <w:p w14:paraId="6B734F5A" w14:textId="77777777" w:rsidR="00A66A5A" w:rsidRPr="00C47C9E" w:rsidRDefault="00A66A5A" w:rsidP="0016504C">
            <w:pPr>
              <w:tabs>
                <w:tab w:val="right" w:pos="2727"/>
              </w:tabs>
              <w:spacing w:before="40" w:after="120"/>
              <w:rPr>
                <w:b/>
              </w:rPr>
            </w:pPr>
            <w:r w:rsidRPr="00C47C9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EC099" wp14:editId="1ACF8B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14605</wp:posOffset>
                      </wp:positionV>
                      <wp:extent cx="1876425" cy="429895"/>
                      <wp:effectExtent l="12700" t="14605" r="53975" b="1270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298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38F73" w14:textId="77777777" w:rsidR="00A66A5A" w:rsidRPr="008647F9" w:rsidRDefault="00A66A5A" w:rsidP="00A66A5A">
                                  <w:pPr>
                                    <w:ind w:left="-284"/>
                                    <w:rPr>
                                      <w:sz w:val="22"/>
                                    </w:rPr>
                                  </w:pPr>
                                  <w:r w:rsidRPr="008647F9">
                                    <w:rPr>
                                      <w:sz w:val="22"/>
                                    </w:rPr>
                                    <w:t xml:space="preserve">      </w:t>
                                  </w:r>
                                  <w:r w:rsidRPr="008647F9">
                                    <w:rPr>
                                      <w:b/>
                                      <w:sz w:val="22"/>
                                    </w:rPr>
                                    <w:t>KPI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EC099" id="AutoShape 4" o:spid="_x0000_s1028" type="#_x0000_t6" style="position:absolute;margin-left:-5pt;margin-top:1.15pt;width:147.7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">
                      <v:textbox inset=".5mm,.3mm,.5mm,.3mm">
                        <w:txbxContent>
                          <w:p w14:paraId="60A38F73" w14:textId="77777777" w:rsidR="00A66A5A" w:rsidRPr="008647F9" w:rsidRDefault="00A66A5A" w:rsidP="00A66A5A">
                            <w:pPr>
                              <w:ind w:left="-284"/>
                              <w:rPr>
                                <w:sz w:val="22"/>
                              </w:rPr>
                            </w:pPr>
                            <w:r w:rsidRPr="008647F9">
                              <w:rPr>
                                <w:sz w:val="22"/>
                              </w:rPr>
                              <w:t xml:space="preserve">      </w:t>
                            </w:r>
                            <w:r w:rsidRPr="008647F9">
                              <w:rPr>
                                <w:b/>
                                <w:sz w:val="22"/>
                              </w:rPr>
                              <w:t>KPI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C9E">
              <w:rPr>
                <w:b/>
              </w:rPr>
              <w:tab/>
              <w:t>Method</w:t>
            </w:r>
          </w:p>
        </w:tc>
        <w:tc>
          <w:tcPr>
            <w:tcW w:w="1808" w:type="dxa"/>
            <w:shd w:val="clear" w:color="auto" w:fill="auto"/>
          </w:tcPr>
          <w:p w14:paraId="41B81659" w14:textId="77777777" w:rsidR="00A66A5A" w:rsidRPr="009C7FEF" w:rsidRDefault="00A66A5A" w:rsidP="0016504C">
            <w:pPr>
              <w:spacing w:before="40" w:after="120"/>
            </w:pPr>
            <w:r w:rsidRPr="009C7FEF">
              <w:t>Customer opinion survey</w:t>
            </w:r>
          </w:p>
        </w:tc>
        <w:tc>
          <w:tcPr>
            <w:tcW w:w="1701" w:type="dxa"/>
            <w:shd w:val="clear" w:color="auto" w:fill="auto"/>
          </w:tcPr>
          <w:p w14:paraId="4E3E287A" w14:textId="77777777" w:rsidR="00A66A5A" w:rsidRPr="009C7FEF" w:rsidRDefault="00A66A5A" w:rsidP="0016504C">
            <w:pPr>
              <w:spacing w:before="40" w:after="120"/>
            </w:pPr>
            <w:r w:rsidRPr="009C7FEF">
              <w:t>Objectively measurement</w:t>
            </w:r>
          </w:p>
        </w:tc>
        <w:tc>
          <w:tcPr>
            <w:tcW w:w="1701" w:type="dxa"/>
            <w:shd w:val="clear" w:color="auto" w:fill="auto"/>
          </w:tcPr>
          <w:p w14:paraId="41A3A97C" w14:textId="77777777" w:rsidR="00A66A5A" w:rsidRPr="009C7FEF" w:rsidRDefault="00A66A5A" w:rsidP="0016504C">
            <w:pPr>
              <w:spacing w:before="40" w:after="120"/>
            </w:pPr>
            <w:r w:rsidRPr="009C7FEF">
              <w:t>Crowdsourcing application</w:t>
            </w:r>
          </w:p>
        </w:tc>
        <w:tc>
          <w:tcPr>
            <w:tcW w:w="1134" w:type="dxa"/>
            <w:shd w:val="clear" w:color="auto" w:fill="auto"/>
          </w:tcPr>
          <w:p w14:paraId="3EA9D9BB" w14:textId="77777777" w:rsidR="00A66A5A" w:rsidRPr="009C7FEF" w:rsidRDefault="00A66A5A" w:rsidP="0016504C">
            <w:pPr>
              <w:spacing w:before="40" w:after="120"/>
            </w:pPr>
            <w:r w:rsidRPr="009C7FEF">
              <w:t>Others</w:t>
            </w:r>
          </w:p>
        </w:tc>
      </w:tr>
      <w:tr w:rsidR="00A66A5A" w:rsidRPr="009C7FEF" w14:paraId="11884C08" w14:textId="77777777" w:rsidTr="0016504C">
        <w:tc>
          <w:tcPr>
            <w:tcW w:w="2978" w:type="dxa"/>
            <w:shd w:val="clear" w:color="auto" w:fill="auto"/>
          </w:tcPr>
          <w:p w14:paraId="096BC494" w14:textId="77777777" w:rsidR="00A66A5A" w:rsidRPr="009C7FEF" w:rsidRDefault="00A66A5A" w:rsidP="0016504C">
            <w:pPr>
              <w:spacing w:before="40" w:after="120"/>
            </w:pPr>
            <w:r>
              <w:t>Speed</w:t>
            </w:r>
          </w:p>
        </w:tc>
        <w:tc>
          <w:tcPr>
            <w:tcW w:w="1808" w:type="dxa"/>
            <w:shd w:val="clear" w:color="auto" w:fill="auto"/>
          </w:tcPr>
          <w:p w14:paraId="066126DA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81C3ECD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234DC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FD2B576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  <w:tr w:rsidR="00A66A5A" w:rsidRPr="009C7FEF" w14:paraId="0C918FB7" w14:textId="77777777" w:rsidTr="0016504C">
        <w:tc>
          <w:tcPr>
            <w:tcW w:w="2978" w:type="dxa"/>
            <w:shd w:val="clear" w:color="auto" w:fill="auto"/>
          </w:tcPr>
          <w:p w14:paraId="34D9926B" w14:textId="77777777" w:rsidR="00A66A5A" w:rsidRPr="009C7FEF" w:rsidRDefault="00A66A5A" w:rsidP="0016504C">
            <w:pPr>
              <w:spacing w:before="40" w:after="120"/>
            </w:pPr>
            <w:r w:rsidRPr="009C7FEF">
              <w:t>Service Coverage</w:t>
            </w:r>
          </w:p>
        </w:tc>
        <w:tc>
          <w:tcPr>
            <w:tcW w:w="1808" w:type="dxa"/>
            <w:shd w:val="clear" w:color="auto" w:fill="auto"/>
          </w:tcPr>
          <w:p w14:paraId="19D2DF9A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9D8CA6C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CDA62E9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11137AD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  <w:tr w:rsidR="00A66A5A" w:rsidRPr="009C7FEF" w14:paraId="3C98469A" w14:textId="77777777" w:rsidTr="0016504C">
        <w:tc>
          <w:tcPr>
            <w:tcW w:w="2978" w:type="dxa"/>
            <w:shd w:val="clear" w:color="auto" w:fill="auto"/>
          </w:tcPr>
          <w:p w14:paraId="474304DF" w14:textId="77777777" w:rsidR="00A66A5A" w:rsidRPr="009C7FEF" w:rsidRDefault="00A66A5A" w:rsidP="0016504C">
            <w:pPr>
              <w:spacing w:before="40" w:after="120"/>
            </w:pPr>
            <w:r w:rsidRPr="009C7FEF">
              <w:t>Others</w:t>
            </w:r>
          </w:p>
        </w:tc>
        <w:tc>
          <w:tcPr>
            <w:tcW w:w="1808" w:type="dxa"/>
            <w:shd w:val="clear" w:color="auto" w:fill="auto"/>
          </w:tcPr>
          <w:p w14:paraId="711EB67D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  <w:r w:rsidRPr="009C7FE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24BC8E7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0672A8B" w14:textId="77777777" w:rsidR="00A66A5A" w:rsidRPr="009C7FEF" w:rsidRDefault="00A66A5A" w:rsidP="0016504C">
            <w:pPr>
              <w:spacing w:before="40" w:after="40"/>
              <w:jc w:val="center"/>
            </w:pPr>
            <w:r w:rsidRPr="009C7FE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FEF">
              <w:instrText xml:space="preserve"> FORMCHECKBOX </w:instrText>
            </w:r>
            <w:r w:rsidR="006B1415">
              <w:fldChar w:fldCharType="separate"/>
            </w:r>
            <w:r w:rsidRPr="009C7FE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D81487" w14:textId="77777777" w:rsidR="00A66A5A" w:rsidRPr="009C7FEF" w:rsidRDefault="00A66A5A" w:rsidP="0016504C">
            <w:pPr>
              <w:spacing w:before="40" w:after="40"/>
              <w:jc w:val="center"/>
            </w:pPr>
          </w:p>
        </w:tc>
      </w:tr>
    </w:tbl>
    <w:p w14:paraId="38D94754" w14:textId="77777777" w:rsidR="00A66A5A" w:rsidRPr="00561F3E" w:rsidRDefault="00A66A5A" w:rsidP="00A66A5A">
      <w:pPr>
        <w:rPr>
          <w:rFonts w:eastAsia="Times New Roman"/>
          <w:b/>
          <w:color w:val="000000"/>
        </w:rPr>
      </w:pPr>
    </w:p>
    <w:p w14:paraId="02924300" w14:textId="77777777" w:rsidR="00A66A5A" w:rsidRDefault="00A66A5A" w:rsidP="00A66A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3.4</w:t>
      </w:r>
      <w:r w:rsidRPr="00B71851">
        <w:rPr>
          <w:rFonts w:eastAsia="Times New Roman"/>
          <w:color w:val="000000"/>
        </w:rPr>
        <w:t xml:space="preserve">. </w:t>
      </w:r>
      <w:r w:rsidRPr="00993260">
        <w:rPr>
          <w:rFonts w:eastAsia="Times New Roman"/>
          <w:color w:val="000000"/>
        </w:rPr>
        <w:t>Other services</w:t>
      </w:r>
      <w:r>
        <w:rPr>
          <w:rFonts w:eastAsia="Times New Roman"/>
          <w:color w:val="000000"/>
        </w:rPr>
        <w:t xml:space="preserve">: </w:t>
      </w:r>
    </w:p>
    <w:p w14:paraId="4021168A" w14:textId="77777777" w:rsidR="00A66A5A" w:rsidRDefault="00A66A5A" w:rsidP="00A66A5A">
      <w:pPr>
        <w:rPr>
          <w:rFonts w:eastAsia="Times New Roman"/>
          <w:color w:val="000000"/>
        </w:rPr>
      </w:pPr>
    </w:p>
    <w:p w14:paraId="506A872C" w14:textId="77777777" w:rsidR="00A66A5A" w:rsidRPr="00561F3E" w:rsidRDefault="00A66A5A" w:rsidP="00A66A5A">
      <w:pP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B. </w:t>
      </w:r>
      <w:r w:rsidRPr="00561F3E">
        <w:rPr>
          <w:rFonts w:eastAsia="Times New Roman"/>
          <w:b/>
          <w:color w:val="000000"/>
        </w:rPr>
        <w:t>If the answer is “No”</w:t>
      </w:r>
    </w:p>
    <w:p w14:paraId="21D08811" w14:textId="77777777" w:rsidR="00A66A5A" w:rsidRPr="00B71851" w:rsidRDefault="00A66A5A" w:rsidP="00A66A5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3.5 What is your approach to monitor in term of quality for services on the mobile communications network?</w:t>
      </w:r>
    </w:p>
    <w:p w14:paraId="5800A8ED" w14:textId="77777777" w:rsidR="00A66A5A" w:rsidRDefault="00A66A5A" w:rsidP="00A66A5A">
      <w:pPr>
        <w:rPr>
          <w:rFonts w:eastAsia="Times New Roman"/>
          <w:color w:val="000000"/>
        </w:rPr>
      </w:pPr>
    </w:p>
    <w:p w14:paraId="2C5D6125" w14:textId="77777777" w:rsidR="00A66A5A" w:rsidRPr="00993260" w:rsidRDefault="00A66A5A" w:rsidP="00A66A5A">
      <w:pPr>
        <w:jc w:val="both"/>
      </w:pPr>
      <w:r>
        <w:rPr>
          <w:rFonts w:eastAsia="Times New Roman"/>
          <w:color w:val="000000"/>
        </w:rPr>
        <w:t>4</w:t>
      </w:r>
      <w:r w:rsidRPr="00C02386">
        <w:rPr>
          <w:rFonts w:eastAsia="Times New Roman"/>
          <w:color w:val="000000"/>
        </w:rPr>
        <w:t xml:space="preserve">. Do you publish </w:t>
      </w:r>
      <w:r>
        <w:rPr>
          <w:rFonts w:eastAsia="Times New Roman"/>
          <w:color w:val="000000"/>
        </w:rPr>
        <w:t xml:space="preserve">the quality assessment </w:t>
      </w:r>
      <w:r w:rsidRPr="00C02386">
        <w:rPr>
          <w:rFonts w:eastAsia="Times New Roman"/>
          <w:color w:val="000000"/>
        </w:rPr>
        <w:t>results</w:t>
      </w:r>
      <w:r w:rsidRPr="00993260">
        <w:t xml:space="preserve">? </w:t>
      </w:r>
    </w:p>
    <w:p w14:paraId="15648224" w14:textId="77777777" w:rsidR="00A66A5A" w:rsidRPr="00993260" w:rsidRDefault="00A66A5A" w:rsidP="00A66A5A">
      <w:pPr>
        <w:pStyle w:val="ListParagraph1"/>
        <w:spacing w:before="120" w:after="40"/>
        <w:ind w:left="0"/>
        <w:contextualSpacing/>
        <w:jc w:val="both"/>
        <w:rPr>
          <w:sz w:val="24"/>
          <w:szCs w:val="24"/>
          <w:lang w:val="en-US"/>
        </w:rPr>
      </w:pPr>
      <w:r w:rsidRPr="0099326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rPr>
          <w:sz w:val="24"/>
          <w:szCs w:val="24"/>
        </w:rPr>
        <w:instrText xml:space="preserve"> FORMCHECKBOX </w:instrText>
      </w:r>
      <w:r w:rsidR="006B1415">
        <w:rPr>
          <w:sz w:val="24"/>
          <w:szCs w:val="24"/>
        </w:rPr>
      </w:r>
      <w:r w:rsidR="006B1415">
        <w:rPr>
          <w:sz w:val="24"/>
          <w:szCs w:val="24"/>
        </w:rPr>
        <w:fldChar w:fldCharType="separate"/>
      </w:r>
      <w:r w:rsidRPr="00993260">
        <w:rPr>
          <w:sz w:val="24"/>
          <w:szCs w:val="24"/>
        </w:rPr>
        <w:fldChar w:fldCharType="end"/>
      </w:r>
      <w:r w:rsidRPr="00993260">
        <w:rPr>
          <w:sz w:val="24"/>
          <w:szCs w:val="24"/>
        </w:rPr>
        <w:t xml:space="preserve"> </w:t>
      </w:r>
      <w:r w:rsidRPr="00993260">
        <w:rPr>
          <w:sz w:val="24"/>
          <w:szCs w:val="24"/>
          <w:lang w:val="en-US"/>
        </w:rPr>
        <w:t xml:space="preserve"> Yes </w:t>
      </w:r>
    </w:p>
    <w:p w14:paraId="4BE14D4F" w14:textId="77777777" w:rsidR="00A66A5A" w:rsidRDefault="00A66A5A" w:rsidP="00A66A5A">
      <w:pPr>
        <w:spacing w:before="40" w:after="12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 No</w:t>
      </w:r>
    </w:p>
    <w:p w14:paraId="1D5FAC50" w14:textId="77777777" w:rsidR="00A66A5A" w:rsidRPr="00993260" w:rsidRDefault="00A66A5A" w:rsidP="00A66A5A">
      <w:pPr>
        <w:pStyle w:val="ListParagraph1"/>
        <w:spacing w:before="120" w:after="40"/>
        <w:ind w:left="0"/>
        <w:contextualSpacing/>
        <w:jc w:val="both"/>
        <w:rPr>
          <w:sz w:val="24"/>
          <w:szCs w:val="24"/>
          <w:lang w:val="en-US"/>
        </w:rPr>
      </w:pPr>
      <w:r>
        <w:t xml:space="preserve">4.1 </w:t>
      </w:r>
      <w:r w:rsidRPr="00993260">
        <w:rPr>
          <w:sz w:val="24"/>
          <w:szCs w:val="24"/>
          <w:lang w:val="en-US"/>
        </w:rPr>
        <w:t xml:space="preserve">If Yes, what kinds of media are being used to publish the </w:t>
      </w:r>
      <w:r>
        <w:rPr>
          <w:sz w:val="24"/>
          <w:szCs w:val="24"/>
          <w:lang w:val="en-US"/>
        </w:rPr>
        <w:t>quality</w:t>
      </w:r>
      <w:r w:rsidRPr="0099326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assess</w:t>
      </w:r>
      <w:r w:rsidRPr="00993260">
        <w:rPr>
          <w:sz w:val="24"/>
          <w:szCs w:val="24"/>
          <w:lang w:val="en-US"/>
        </w:rPr>
        <w:t>ment results</w:t>
      </w:r>
      <w:r>
        <w:rPr>
          <w:sz w:val="24"/>
          <w:szCs w:val="24"/>
          <w:lang w:val="en-US"/>
        </w:rPr>
        <w:t xml:space="preserve"> of services on the mobile communications network</w:t>
      </w:r>
      <w:r w:rsidRPr="00993260">
        <w:rPr>
          <w:sz w:val="24"/>
          <w:szCs w:val="24"/>
          <w:lang w:val="en-US"/>
        </w:rPr>
        <w:t>? Mark more than one if needed.</w:t>
      </w:r>
    </w:p>
    <w:p w14:paraId="7A624004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Website</w:t>
      </w:r>
    </w:p>
    <w:p w14:paraId="263EDA2F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Newspapers</w:t>
      </w:r>
    </w:p>
    <w:p w14:paraId="5444F2F2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Social media</w:t>
      </w:r>
    </w:p>
    <w:p w14:paraId="74291EC1" w14:textId="77777777" w:rsidR="00A66A5A" w:rsidRDefault="00A66A5A" w:rsidP="00A66A5A">
      <w:pPr>
        <w:spacing w:before="40" w:after="12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Others (name it):</w:t>
      </w:r>
    </w:p>
    <w:p w14:paraId="688DC114" w14:textId="77777777" w:rsidR="00A66A5A" w:rsidRPr="00993260" w:rsidRDefault="00A66A5A" w:rsidP="00A66A5A">
      <w:pPr>
        <w:pStyle w:val="ListParagraph1"/>
        <w:spacing w:before="120" w:after="40"/>
        <w:ind w:left="0"/>
        <w:contextualSpacing/>
        <w:jc w:val="both"/>
        <w:rPr>
          <w:sz w:val="24"/>
          <w:szCs w:val="24"/>
          <w:lang w:val="en-US"/>
        </w:rPr>
      </w:pPr>
      <w:r>
        <w:rPr>
          <w:color w:val="000000"/>
        </w:rPr>
        <w:t xml:space="preserve">4.2 </w:t>
      </w:r>
      <w:r w:rsidRPr="00993260">
        <w:rPr>
          <w:sz w:val="24"/>
          <w:szCs w:val="24"/>
          <w:lang w:val="en-US"/>
        </w:rPr>
        <w:t>If Yes, which period</w:t>
      </w:r>
      <w:r>
        <w:rPr>
          <w:sz w:val="24"/>
          <w:szCs w:val="24"/>
          <w:lang w:val="en-US"/>
        </w:rPr>
        <w:t>s</w:t>
      </w:r>
      <w:r w:rsidRPr="0099326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are being used to publish</w:t>
      </w:r>
      <w:r w:rsidRPr="00993260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>quality</w:t>
      </w:r>
      <w:r w:rsidRPr="0099326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assess</w:t>
      </w:r>
      <w:r w:rsidRPr="00993260">
        <w:rPr>
          <w:sz w:val="24"/>
          <w:szCs w:val="24"/>
          <w:lang w:val="en-US"/>
        </w:rPr>
        <w:t>ment result</w:t>
      </w:r>
      <w:r>
        <w:rPr>
          <w:sz w:val="24"/>
          <w:szCs w:val="24"/>
          <w:lang w:val="en-US"/>
        </w:rPr>
        <w:t>s of services on the mobile communications network</w:t>
      </w:r>
      <w:r w:rsidRPr="00993260">
        <w:rPr>
          <w:sz w:val="24"/>
          <w:szCs w:val="24"/>
          <w:lang w:val="en-US"/>
        </w:rPr>
        <w:t>?</w:t>
      </w:r>
    </w:p>
    <w:p w14:paraId="21351CEB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Monthly</w:t>
      </w:r>
    </w:p>
    <w:p w14:paraId="0DA3387E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Quarterly</w:t>
      </w:r>
    </w:p>
    <w:p w14:paraId="49BAFA70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Half-yearly</w:t>
      </w:r>
    </w:p>
    <w:p w14:paraId="25266B2A" w14:textId="77777777" w:rsidR="00A66A5A" w:rsidRPr="00993260" w:rsidRDefault="00A66A5A" w:rsidP="00A66A5A">
      <w:pPr>
        <w:spacing w:before="40" w:after="4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Yearly</w:t>
      </w:r>
    </w:p>
    <w:p w14:paraId="29DEAA6D" w14:textId="266C9DBF" w:rsidR="00DA7595" w:rsidRPr="007F0A02" w:rsidRDefault="00A66A5A" w:rsidP="00A66A5A">
      <w:pPr>
        <w:spacing w:before="40" w:after="120"/>
      </w:pPr>
      <w:r w:rsidRPr="009932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3260">
        <w:instrText xml:space="preserve"> FORMCHECKBOX </w:instrText>
      </w:r>
      <w:r w:rsidR="006B1415">
        <w:fldChar w:fldCharType="separate"/>
      </w:r>
      <w:r w:rsidRPr="00993260">
        <w:fldChar w:fldCharType="end"/>
      </w:r>
      <w:r w:rsidRPr="00993260">
        <w:t xml:space="preserve"> Other</w:t>
      </w:r>
      <w:r>
        <w:t>s</w:t>
      </w:r>
      <w:r w:rsidRPr="00993260">
        <w:t xml:space="preserve"> (name it):</w:t>
      </w:r>
    </w:p>
    <w:sectPr w:rsidR="00DA7595" w:rsidRPr="007F0A02" w:rsidSect="00A66A5A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296" w:bottom="1296" w:left="1296" w:header="720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DF697" w14:textId="77777777" w:rsidR="006B1415" w:rsidRDefault="006B1415">
      <w:r>
        <w:separator/>
      </w:r>
    </w:p>
  </w:endnote>
  <w:endnote w:type="continuationSeparator" w:id="0">
    <w:p w14:paraId="455BDA4A" w14:textId="77777777" w:rsidR="006B1415" w:rsidRDefault="006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E847" w14:textId="77777777" w:rsidR="00661011" w:rsidRDefault="00661011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CB872" w14:textId="77777777" w:rsidR="00661011" w:rsidRDefault="00661011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9864F" w14:textId="639CE271" w:rsidR="00661011" w:rsidRPr="00082293" w:rsidRDefault="00082293" w:rsidP="00082293">
    <w:pPr>
      <w:pStyle w:val="Footer"/>
      <w:ind w:right="360"/>
      <w:rPr>
        <w:rStyle w:val="PageNumber"/>
      </w:rPr>
    </w:pPr>
    <w:r w:rsidRPr="00082293">
      <w:rPr>
        <w:bCs/>
      </w:rPr>
      <w:t>ASTAP-30/OUT-08</w:t>
    </w:r>
    <w:r w:rsidRPr="00082293">
      <w:rPr>
        <w:bCs/>
      </w:rPr>
      <w:tab/>
    </w:r>
    <w:r w:rsidRPr="00082293">
      <w:rPr>
        <w:bCs/>
      </w:rPr>
      <w:tab/>
      <w:t xml:space="preserve"> </w:t>
    </w:r>
    <w:r w:rsidR="00661011" w:rsidRPr="00082293">
      <w:rPr>
        <w:rStyle w:val="PageNumber"/>
      </w:rPr>
      <w:t xml:space="preserve">Page </w:t>
    </w:r>
    <w:r w:rsidR="00661011" w:rsidRPr="00082293">
      <w:rPr>
        <w:rStyle w:val="PageNumber"/>
      </w:rPr>
      <w:fldChar w:fldCharType="begin"/>
    </w:r>
    <w:r w:rsidR="00661011" w:rsidRPr="00082293">
      <w:rPr>
        <w:rStyle w:val="PageNumber"/>
      </w:rPr>
      <w:instrText xml:space="preserve"> PAGE </w:instrText>
    </w:r>
    <w:r w:rsidR="00661011" w:rsidRPr="00082293">
      <w:rPr>
        <w:rStyle w:val="PageNumber"/>
      </w:rPr>
      <w:fldChar w:fldCharType="separate"/>
    </w:r>
    <w:r w:rsidR="00C914FD">
      <w:rPr>
        <w:rStyle w:val="PageNumber"/>
        <w:noProof/>
      </w:rPr>
      <w:t>4</w:t>
    </w:r>
    <w:r w:rsidR="00661011" w:rsidRPr="00082293">
      <w:rPr>
        <w:rStyle w:val="PageNumber"/>
      </w:rPr>
      <w:fldChar w:fldCharType="end"/>
    </w:r>
    <w:r w:rsidR="00661011" w:rsidRPr="00082293">
      <w:rPr>
        <w:rStyle w:val="PageNumber"/>
      </w:rPr>
      <w:t xml:space="preserve"> of </w:t>
    </w:r>
    <w:r w:rsidR="00661011" w:rsidRPr="00082293">
      <w:rPr>
        <w:rStyle w:val="PageNumber"/>
      </w:rPr>
      <w:fldChar w:fldCharType="begin"/>
    </w:r>
    <w:r w:rsidR="00661011" w:rsidRPr="00082293">
      <w:rPr>
        <w:rStyle w:val="PageNumber"/>
      </w:rPr>
      <w:instrText xml:space="preserve"> NUMPAGES </w:instrText>
    </w:r>
    <w:r w:rsidR="00661011" w:rsidRPr="00082293">
      <w:rPr>
        <w:rStyle w:val="PageNumber"/>
      </w:rPr>
      <w:fldChar w:fldCharType="separate"/>
    </w:r>
    <w:r w:rsidR="00C914FD">
      <w:rPr>
        <w:rStyle w:val="PageNumber"/>
        <w:noProof/>
      </w:rPr>
      <w:t>4</w:t>
    </w:r>
    <w:r w:rsidR="00661011" w:rsidRPr="0008229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14"/>
      <w:gridCol w:w="5387"/>
      <w:gridCol w:w="3522"/>
    </w:tblGrid>
    <w:tr w:rsidR="00661011" w14:paraId="37F2DC5F" w14:textId="77777777" w:rsidTr="00C23676">
      <w:trPr>
        <w:cantSplit/>
        <w:trHeight w:val="204"/>
        <w:jc w:val="center"/>
      </w:trPr>
      <w:tc>
        <w:tcPr>
          <w:tcW w:w="1014" w:type="dxa"/>
          <w:tcBorders>
            <w:top w:val="single" w:sz="12" w:space="0" w:color="auto"/>
          </w:tcBorders>
        </w:tcPr>
        <w:p w14:paraId="652B9CFC" w14:textId="77777777" w:rsidR="00661011" w:rsidRDefault="00661011" w:rsidP="00066CB8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5387" w:type="dxa"/>
          <w:tcBorders>
            <w:top w:val="single" w:sz="12" w:space="0" w:color="auto"/>
          </w:tcBorders>
        </w:tcPr>
        <w:p w14:paraId="55326542" w14:textId="77777777" w:rsidR="00661011" w:rsidRDefault="00661011" w:rsidP="00066CB8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lang w:eastAsia="ko-KR"/>
            </w:rPr>
          </w:pPr>
          <w:r>
            <w:rPr>
              <w:rFonts w:eastAsia="Batang"/>
              <w:lang w:eastAsia="ko-KR"/>
            </w:rPr>
            <w:t>BINH VUONG THE</w:t>
          </w:r>
        </w:p>
        <w:p w14:paraId="09637C88" w14:textId="77777777" w:rsidR="00661011" w:rsidRDefault="00661011" w:rsidP="00066CB8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lang w:eastAsia="ko-KR"/>
            </w:rPr>
          </w:pPr>
          <w:r>
            <w:rPr>
              <w:rFonts w:eastAsia="Batang"/>
              <w:lang w:eastAsia="ko-KR"/>
            </w:rPr>
            <w:t>KHOA NGUYEN VAN</w:t>
          </w:r>
        </w:p>
        <w:p w14:paraId="34FB8DF7" w14:textId="1B6BCBCB" w:rsidR="00661011" w:rsidRPr="00114EAB" w:rsidRDefault="00661011" w:rsidP="00066CB8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lang w:eastAsia="ko-KR"/>
            </w:rPr>
          </w:pPr>
          <w:r w:rsidRPr="0009642B">
            <w:rPr>
              <w:rFonts w:eastAsia="Batang"/>
            </w:rPr>
            <w:t xml:space="preserve">Ministry of Information and Communications, </w:t>
          </w:r>
          <w:r w:rsidR="00584BDB">
            <w:rPr>
              <w:rFonts w:eastAsia="Batang"/>
            </w:rPr>
            <w:br/>
          </w:r>
          <w:r w:rsidRPr="0009642B">
            <w:rPr>
              <w:rFonts w:eastAsia="Batang"/>
            </w:rPr>
            <w:t>Viet Nam</w:t>
          </w:r>
        </w:p>
      </w:tc>
      <w:tc>
        <w:tcPr>
          <w:tcW w:w="3522" w:type="dxa"/>
          <w:tcBorders>
            <w:top w:val="single" w:sz="12" w:space="0" w:color="auto"/>
          </w:tcBorders>
        </w:tcPr>
        <w:p w14:paraId="318202CA" w14:textId="77777777" w:rsidR="00661011" w:rsidRDefault="00661011" w:rsidP="00066CB8">
          <w:r>
            <w:t>Email</w:t>
          </w:r>
          <w:r>
            <w:rPr>
              <w:rFonts w:hint="eastAsia"/>
            </w:rPr>
            <w:t xml:space="preserve">: </w:t>
          </w:r>
          <w:r>
            <w:t>vtbinh@mic.gov.vn</w:t>
          </w:r>
        </w:p>
        <w:p w14:paraId="63B1D2DA" w14:textId="77777777" w:rsidR="00661011" w:rsidRDefault="00661011" w:rsidP="00066CB8">
          <w:pPr>
            <w:rPr>
              <w:lang w:eastAsia="ja-JP"/>
            </w:rPr>
          </w:pPr>
          <w:r>
            <w:t xml:space="preserve">            nvkhoa@mic.gov.vn</w:t>
          </w:r>
        </w:p>
      </w:tc>
    </w:tr>
  </w:tbl>
  <w:p w14:paraId="05DB7B68" w14:textId="77777777" w:rsidR="00661011" w:rsidRPr="0000730E" w:rsidRDefault="00661011" w:rsidP="0000730E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19EEF" w14:textId="77777777" w:rsidR="006B1415" w:rsidRDefault="006B1415">
      <w:r>
        <w:separator/>
      </w:r>
    </w:p>
  </w:footnote>
  <w:footnote w:type="continuationSeparator" w:id="0">
    <w:p w14:paraId="6618B3AF" w14:textId="77777777" w:rsidR="006B1415" w:rsidRDefault="006B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D4526" w14:textId="77777777" w:rsidR="00661011" w:rsidRDefault="00661011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3DB28CFC" w14:textId="77777777" w:rsidR="00661011" w:rsidRDefault="00661011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6604AF"/>
    <w:multiLevelType w:val="multilevel"/>
    <w:tmpl w:val="2034ECC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4B5A70FA"/>
    <w:multiLevelType w:val="hybridMultilevel"/>
    <w:tmpl w:val="C14861FC"/>
    <w:lvl w:ilvl="0" w:tplc="9E52341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1A0E"/>
    <w:multiLevelType w:val="hybridMultilevel"/>
    <w:tmpl w:val="7320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8E"/>
    <w:rsid w:val="000011E8"/>
    <w:rsid w:val="00002B8E"/>
    <w:rsid w:val="00004875"/>
    <w:rsid w:val="0000730E"/>
    <w:rsid w:val="00032A21"/>
    <w:rsid w:val="0003595B"/>
    <w:rsid w:val="00066CB8"/>
    <w:rsid w:val="00072293"/>
    <w:rsid w:val="00082293"/>
    <w:rsid w:val="00083466"/>
    <w:rsid w:val="00093D84"/>
    <w:rsid w:val="000A4256"/>
    <w:rsid w:val="000A6769"/>
    <w:rsid w:val="000B5494"/>
    <w:rsid w:val="000C0807"/>
    <w:rsid w:val="000C0D6D"/>
    <w:rsid w:val="000D6C0B"/>
    <w:rsid w:val="000F5540"/>
    <w:rsid w:val="00104E62"/>
    <w:rsid w:val="00114EAB"/>
    <w:rsid w:val="0016098A"/>
    <w:rsid w:val="00196568"/>
    <w:rsid w:val="001A0FA6"/>
    <w:rsid w:val="001B0ACB"/>
    <w:rsid w:val="001B18C2"/>
    <w:rsid w:val="001C35E1"/>
    <w:rsid w:val="001D5D7E"/>
    <w:rsid w:val="001E295D"/>
    <w:rsid w:val="001F725F"/>
    <w:rsid w:val="00237F76"/>
    <w:rsid w:val="00252862"/>
    <w:rsid w:val="00254A1B"/>
    <w:rsid w:val="00260C54"/>
    <w:rsid w:val="00262EAB"/>
    <w:rsid w:val="0028454D"/>
    <w:rsid w:val="002926D4"/>
    <w:rsid w:val="00293290"/>
    <w:rsid w:val="002B5E19"/>
    <w:rsid w:val="002B6589"/>
    <w:rsid w:val="002C0506"/>
    <w:rsid w:val="002C07DA"/>
    <w:rsid w:val="002C7EA9"/>
    <w:rsid w:val="002D673C"/>
    <w:rsid w:val="002F2C66"/>
    <w:rsid w:val="002F57B3"/>
    <w:rsid w:val="002F6DB8"/>
    <w:rsid w:val="00303BB5"/>
    <w:rsid w:val="00323917"/>
    <w:rsid w:val="003265E5"/>
    <w:rsid w:val="003549A6"/>
    <w:rsid w:val="003578AB"/>
    <w:rsid w:val="00376D75"/>
    <w:rsid w:val="00390E57"/>
    <w:rsid w:val="003A232C"/>
    <w:rsid w:val="003A6A11"/>
    <w:rsid w:val="003B08E6"/>
    <w:rsid w:val="003B6263"/>
    <w:rsid w:val="003C64A7"/>
    <w:rsid w:val="003D3FDA"/>
    <w:rsid w:val="003D4768"/>
    <w:rsid w:val="003F2317"/>
    <w:rsid w:val="003F7259"/>
    <w:rsid w:val="0040477A"/>
    <w:rsid w:val="00411977"/>
    <w:rsid w:val="00412849"/>
    <w:rsid w:val="00420822"/>
    <w:rsid w:val="0042441B"/>
    <w:rsid w:val="00442F59"/>
    <w:rsid w:val="0045458F"/>
    <w:rsid w:val="00482DD7"/>
    <w:rsid w:val="00486F61"/>
    <w:rsid w:val="004C3810"/>
    <w:rsid w:val="004D3EBC"/>
    <w:rsid w:val="004F0CC7"/>
    <w:rsid w:val="00524E98"/>
    <w:rsid w:val="00530E8C"/>
    <w:rsid w:val="00542CED"/>
    <w:rsid w:val="00545CF7"/>
    <w:rsid w:val="0055601E"/>
    <w:rsid w:val="005722E3"/>
    <w:rsid w:val="0057337E"/>
    <w:rsid w:val="00584BDB"/>
    <w:rsid w:val="00587875"/>
    <w:rsid w:val="0059570F"/>
    <w:rsid w:val="005A33DF"/>
    <w:rsid w:val="005C24FC"/>
    <w:rsid w:val="005C7E76"/>
    <w:rsid w:val="00607E2B"/>
    <w:rsid w:val="00614171"/>
    <w:rsid w:val="00627E64"/>
    <w:rsid w:val="0063062B"/>
    <w:rsid w:val="00661011"/>
    <w:rsid w:val="00667229"/>
    <w:rsid w:val="00682BE5"/>
    <w:rsid w:val="006935FF"/>
    <w:rsid w:val="0069479E"/>
    <w:rsid w:val="006B1415"/>
    <w:rsid w:val="006B16B5"/>
    <w:rsid w:val="006B74FA"/>
    <w:rsid w:val="006C057F"/>
    <w:rsid w:val="006C42B4"/>
    <w:rsid w:val="006C7574"/>
    <w:rsid w:val="006E6BAC"/>
    <w:rsid w:val="00700784"/>
    <w:rsid w:val="00704ECC"/>
    <w:rsid w:val="00741197"/>
    <w:rsid w:val="0074190C"/>
    <w:rsid w:val="007510F4"/>
    <w:rsid w:val="0076003A"/>
    <w:rsid w:val="00761A39"/>
    <w:rsid w:val="00762576"/>
    <w:rsid w:val="0078599A"/>
    <w:rsid w:val="00791716"/>
    <w:rsid w:val="007A762F"/>
    <w:rsid w:val="007B2158"/>
    <w:rsid w:val="007C310D"/>
    <w:rsid w:val="007E3891"/>
    <w:rsid w:val="007F0A02"/>
    <w:rsid w:val="007F1008"/>
    <w:rsid w:val="007F7740"/>
    <w:rsid w:val="0080570B"/>
    <w:rsid w:val="008059C8"/>
    <w:rsid w:val="008071A4"/>
    <w:rsid w:val="00811956"/>
    <w:rsid w:val="008148E1"/>
    <w:rsid w:val="00826A34"/>
    <w:rsid w:val="008308A0"/>
    <w:rsid w:val="00843268"/>
    <w:rsid w:val="008618F1"/>
    <w:rsid w:val="00865017"/>
    <w:rsid w:val="0088109B"/>
    <w:rsid w:val="008B651C"/>
    <w:rsid w:val="008D0E09"/>
    <w:rsid w:val="008D3E84"/>
    <w:rsid w:val="008F006C"/>
    <w:rsid w:val="00922A59"/>
    <w:rsid w:val="00923C6A"/>
    <w:rsid w:val="00953BB8"/>
    <w:rsid w:val="00964260"/>
    <w:rsid w:val="0097693B"/>
    <w:rsid w:val="009A4A6D"/>
    <w:rsid w:val="009B1A50"/>
    <w:rsid w:val="009C3A88"/>
    <w:rsid w:val="009D7372"/>
    <w:rsid w:val="009F642C"/>
    <w:rsid w:val="009F747E"/>
    <w:rsid w:val="00A22047"/>
    <w:rsid w:val="00A229DA"/>
    <w:rsid w:val="00A25607"/>
    <w:rsid w:val="00A438A8"/>
    <w:rsid w:val="00A44BFA"/>
    <w:rsid w:val="00A4576A"/>
    <w:rsid w:val="00A51C26"/>
    <w:rsid w:val="00A53045"/>
    <w:rsid w:val="00A548EF"/>
    <w:rsid w:val="00A66A5A"/>
    <w:rsid w:val="00A74726"/>
    <w:rsid w:val="00A948CF"/>
    <w:rsid w:val="00AA41DB"/>
    <w:rsid w:val="00AA474C"/>
    <w:rsid w:val="00AB259F"/>
    <w:rsid w:val="00AD172D"/>
    <w:rsid w:val="00AD7E5F"/>
    <w:rsid w:val="00AE21FA"/>
    <w:rsid w:val="00AE6366"/>
    <w:rsid w:val="00AE6871"/>
    <w:rsid w:val="00B25D6A"/>
    <w:rsid w:val="00B30C81"/>
    <w:rsid w:val="00B53D8C"/>
    <w:rsid w:val="00BB4D83"/>
    <w:rsid w:val="00BC0AC4"/>
    <w:rsid w:val="00BC13EC"/>
    <w:rsid w:val="00BE3E56"/>
    <w:rsid w:val="00BF663E"/>
    <w:rsid w:val="00C15633"/>
    <w:rsid w:val="00C23676"/>
    <w:rsid w:val="00C318CC"/>
    <w:rsid w:val="00C357AD"/>
    <w:rsid w:val="00C54CE7"/>
    <w:rsid w:val="00C855C4"/>
    <w:rsid w:val="00C914FD"/>
    <w:rsid w:val="00CD29BC"/>
    <w:rsid w:val="00CD5431"/>
    <w:rsid w:val="00CD75B4"/>
    <w:rsid w:val="00CE74EB"/>
    <w:rsid w:val="00CF2491"/>
    <w:rsid w:val="00D0343F"/>
    <w:rsid w:val="00D03D2C"/>
    <w:rsid w:val="00D27F96"/>
    <w:rsid w:val="00D366BA"/>
    <w:rsid w:val="00D524B2"/>
    <w:rsid w:val="00D53308"/>
    <w:rsid w:val="00D57772"/>
    <w:rsid w:val="00D75A4D"/>
    <w:rsid w:val="00D8478B"/>
    <w:rsid w:val="00D86151"/>
    <w:rsid w:val="00D86988"/>
    <w:rsid w:val="00DA7595"/>
    <w:rsid w:val="00DB0A68"/>
    <w:rsid w:val="00DC34C3"/>
    <w:rsid w:val="00DC43A3"/>
    <w:rsid w:val="00DD68FC"/>
    <w:rsid w:val="00DE4D0D"/>
    <w:rsid w:val="00DF3583"/>
    <w:rsid w:val="00E0124B"/>
    <w:rsid w:val="00E035A1"/>
    <w:rsid w:val="00E11CD0"/>
    <w:rsid w:val="00E311E9"/>
    <w:rsid w:val="00E46C89"/>
    <w:rsid w:val="00E57A38"/>
    <w:rsid w:val="00E60D5B"/>
    <w:rsid w:val="00E674D3"/>
    <w:rsid w:val="00EA5F5E"/>
    <w:rsid w:val="00EC1A88"/>
    <w:rsid w:val="00EC64ED"/>
    <w:rsid w:val="00EF01D2"/>
    <w:rsid w:val="00F01103"/>
    <w:rsid w:val="00F077F4"/>
    <w:rsid w:val="00F80501"/>
    <w:rsid w:val="00F84067"/>
    <w:rsid w:val="00FA3184"/>
    <w:rsid w:val="00FA6B4A"/>
    <w:rsid w:val="00FB258F"/>
    <w:rsid w:val="00FC28D4"/>
    <w:rsid w:val="00FC2CE0"/>
    <w:rsid w:val="00FD592E"/>
    <w:rsid w:val="00FE1665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A5984"/>
  <w15:docId w15:val="{955F11BD-9F36-4571-B369-0D70DD2B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F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268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2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43268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  <w:rsid w:val="00C914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14FD"/>
  </w:style>
  <w:style w:type="paragraph" w:styleId="Footer">
    <w:name w:val="footer"/>
    <w:basedOn w:val="Normal"/>
    <w:rsid w:val="00843268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843268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843268"/>
  </w:style>
  <w:style w:type="paragraph" w:styleId="NormalIndent">
    <w:name w:val="Normal Indent"/>
    <w:basedOn w:val="Normal"/>
    <w:rsid w:val="00843268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843268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43268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843268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lang w:val="en-GB"/>
    </w:rPr>
  </w:style>
  <w:style w:type="paragraph" w:styleId="BalloonText">
    <w:name w:val="Balloon Text"/>
    <w:basedOn w:val="Normal"/>
    <w:link w:val="BalloonTextChar"/>
    <w:rsid w:val="00843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3268"/>
    <w:rPr>
      <w:rFonts w:ascii="Tahoma" w:eastAsia="BatangChe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268"/>
    <w:rPr>
      <w:rFonts w:asciiTheme="minorHAnsi" w:eastAsiaTheme="minorHAnsi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3268"/>
    <w:rPr>
      <w:rFonts w:eastAsia="BatangChe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43268"/>
    <w:rPr>
      <w:rFonts w:eastAsia="BatangChe"/>
      <w:b/>
      <w:bCs/>
      <w:kern w:val="2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843268"/>
    <w:pPr>
      <w:widowControl w:val="0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843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B259F"/>
    <w:rPr>
      <w:rFonts w:asciiTheme="minorHAnsi" w:eastAsiaTheme="minorEastAsia" w:hAnsiTheme="minorHAnsi" w:cstheme="minorBidi"/>
      <w:sz w:val="22"/>
      <w:szCs w:val="22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A5F5E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66A5A"/>
    <w:pPr>
      <w:ind w:left="720"/>
    </w:pPr>
    <w:rPr>
      <w:rFonts w:eastAsia="Times New Roman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Nyan Win</cp:lastModifiedBy>
  <cp:revision>5</cp:revision>
  <cp:lastPrinted>1900-12-31T17:00:00Z</cp:lastPrinted>
  <dcterms:created xsi:type="dcterms:W3CDTF">2018-05-30T00:15:00Z</dcterms:created>
  <dcterms:modified xsi:type="dcterms:W3CDTF">2018-05-30T00:39:00Z</dcterms:modified>
</cp:coreProperties>
</file>