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5760"/>
        <w:gridCol w:w="2160"/>
      </w:tblGrid>
      <w:tr w:rsidR="00492E77" w:rsidRPr="00492E77" w:rsidTr="00D418D8">
        <w:trPr>
          <w:cantSplit/>
        </w:trPr>
        <w:tc>
          <w:tcPr>
            <w:tcW w:w="1368" w:type="dxa"/>
            <w:vMerge w:val="restart"/>
          </w:tcPr>
          <w:p w:rsidR="00492E77" w:rsidRPr="00492E77" w:rsidRDefault="00492E77" w:rsidP="00492E77">
            <w:pPr>
              <w:widowControl w:val="0"/>
              <w:wordWrap w:val="0"/>
              <w:rPr>
                <w:kern w:val="2"/>
                <w:lang w:eastAsia="ko-KR"/>
              </w:rPr>
            </w:pPr>
            <w:r w:rsidRPr="00492E77">
              <w:rPr>
                <w:noProof/>
                <w:kern w:val="2"/>
              </w:rPr>
              <w:drawing>
                <wp:inline distT="0" distB="0" distL="0" distR="0" wp14:anchorId="5FB82B35" wp14:editId="375E7E66">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60" w:type="dxa"/>
          </w:tcPr>
          <w:p w:rsidR="00492E77" w:rsidRPr="00492E77" w:rsidRDefault="00492E77" w:rsidP="00492E77">
            <w:pPr>
              <w:keepNext/>
              <w:widowControl w:val="0"/>
              <w:spacing w:before="40"/>
              <w:outlineLvl w:val="7"/>
              <w:rPr>
                <w:bCs/>
                <w:kern w:val="2"/>
                <w:lang w:eastAsia="ko-KR"/>
              </w:rPr>
            </w:pPr>
            <w:r w:rsidRPr="00492E77">
              <w:rPr>
                <w:bCs/>
                <w:kern w:val="2"/>
                <w:lang w:eastAsia="ko-KR"/>
              </w:rPr>
              <w:t>ASIA-PACIFIC TELECOMMUNITY</w:t>
            </w:r>
          </w:p>
        </w:tc>
        <w:tc>
          <w:tcPr>
            <w:tcW w:w="2160" w:type="dxa"/>
          </w:tcPr>
          <w:p w:rsidR="00492E77" w:rsidRPr="00492E77" w:rsidRDefault="00492E77" w:rsidP="00492E77">
            <w:pPr>
              <w:spacing w:before="40"/>
              <w:rPr>
                <w:b/>
              </w:rPr>
            </w:pPr>
            <w:r w:rsidRPr="00492E77">
              <w:rPr>
                <w:b/>
              </w:rPr>
              <w:t>Document No.:</w:t>
            </w:r>
          </w:p>
        </w:tc>
      </w:tr>
      <w:tr w:rsidR="00492E77" w:rsidRPr="00492E77" w:rsidTr="00D418D8">
        <w:trPr>
          <w:cantSplit/>
        </w:trPr>
        <w:tc>
          <w:tcPr>
            <w:tcW w:w="1368" w:type="dxa"/>
            <w:vMerge/>
          </w:tcPr>
          <w:p w:rsidR="00492E77" w:rsidRPr="00492E77" w:rsidRDefault="00492E77" w:rsidP="00492E77"/>
        </w:tc>
        <w:tc>
          <w:tcPr>
            <w:tcW w:w="5760" w:type="dxa"/>
          </w:tcPr>
          <w:p w:rsidR="00492E77" w:rsidRPr="00492E77" w:rsidRDefault="00492E77" w:rsidP="00492E77">
            <w:pPr>
              <w:spacing w:before="40"/>
              <w:rPr>
                <w:bCs/>
              </w:rPr>
            </w:pPr>
            <w:r w:rsidRPr="00492E77">
              <w:rPr>
                <w:b/>
              </w:rPr>
              <w:t>19th Meeting of the South Asian Telecommunication Regulators’ Council (SATRC-19)</w:t>
            </w:r>
          </w:p>
        </w:tc>
        <w:tc>
          <w:tcPr>
            <w:tcW w:w="2160" w:type="dxa"/>
          </w:tcPr>
          <w:p w:rsidR="00492E77" w:rsidRPr="00492E77" w:rsidRDefault="00492E77" w:rsidP="00492E77">
            <w:pPr>
              <w:spacing w:before="40"/>
              <w:rPr>
                <w:b/>
                <w:bCs/>
              </w:rPr>
            </w:pPr>
            <w:r w:rsidRPr="00492E77">
              <w:rPr>
                <w:b/>
                <w:bCs/>
              </w:rPr>
              <w:t>SATRC-19</w:t>
            </w:r>
            <w:r>
              <w:rPr>
                <w:b/>
                <w:bCs/>
              </w:rPr>
              <w:t>/OUT-</w:t>
            </w:r>
            <w:r w:rsidR="002B16B8">
              <w:rPr>
                <w:b/>
                <w:bCs/>
              </w:rPr>
              <w:t>09</w:t>
            </w:r>
          </w:p>
        </w:tc>
      </w:tr>
      <w:tr w:rsidR="00492E77" w:rsidRPr="00492E77" w:rsidTr="00D418D8">
        <w:trPr>
          <w:cantSplit/>
          <w:trHeight w:val="219"/>
        </w:trPr>
        <w:tc>
          <w:tcPr>
            <w:tcW w:w="1368" w:type="dxa"/>
            <w:vMerge/>
          </w:tcPr>
          <w:p w:rsidR="00492E77" w:rsidRPr="00492E77" w:rsidRDefault="00492E77" w:rsidP="00492E77"/>
        </w:tc>
        <w:tc>
          <w:tcPr>
            <w:tcW w:w="5760" w:type="dxa"/>
          </w:tcPr>
          <w:p w:rsidR="00492E77" w:rsidRPr="00492E77" w:rsidRDefault="00492E77" w:rsidP="00492E77">
            <w:pPr>
              <w:spacing w:before="40"/>
            </w:pPr>
            <w:r w:rsidRPr="00492E77">
              <w:t>13 – 15 December 2018, Islamabad, Pakistan</w:t>
            </w:r>
          </w:p>
        </w:tc>
        <w:tc>
          <w:tcPr>
            <w:tcW w:w="2160" w:type="dxa"/>
          </w:tcPr>
          <w:p w:rsidR="00492E77" w:rsidRPr="00492E77" w:rsidRDefault="00492E77" w:rsidP="00492E77">
            <w:pPr>
              <w:keepNext/>
              <w:spacing w:before="40"/>
              <w:outlineLvl w:val="0"/>
              <w:rPr>
                <w:bCs/>
                <w:u w:val="single"/>
              </w:rPr>
            </w:pPr>
            <w:r>
              <w:t>15</w:t>
            </w:r>
            <w:r w:rsidRPr="00492E77">
              <w:t xml:space="preserve"> December 2018</w:t>
            </w:r>
          </w:p>
        </w:tc>
      </w:tr>
    </w:tbl>
    <w:p w:rsidR="00DA7595" w:rsidRPr="00492E77" w:rsidRDefault="00DA7595" w:rsidP="00DA7595">
      <w:pPr>
        <w:jc w:val="center"/>
        <w:rPr>
          <w:lang w:eastAsia="ko-KR"/>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357AD" w:rsidRPr="00607E2B" w:rsidRDefault="00A55DD6" w:rsidP="0063062B">
      <w:pPr>
        <w:jc w:val="center"/>
        <w:rPr>
          <w:b/>
          <w:bCs/>
          <w:caps/>
          <w:sz w:val="28"/>
          <w:szCs w:val="28"/>
        </w:rPr>
      </w:pPr>
      <w:r w:rsidRPr="00A55DD6">
        <w:rPr>
          <w:b/>
          <w:sz w:val="28"/>
          <w:szCs w:val="28"/>
        </w:rPr>
        <w:t>SOUTH ASIAN TELECOMMUNICATION REGULATORS’ COUNCIL</w:t>
      </w:r>
      <w:r w:rsidRPr="00A55DD6">
        <w:rPr>
          <w:b/>
          <w:bCs/>
          <w:sz w:val="26"/>
          <w:szCs w:val="26"/>
        </w:rPr>
        <w:t xml:space="preserve"> </w:t>
      </w:r>
      <w:r>
        <w:rPr>
          <w:b/>
          <w:bCs/>
          <w:sz w:val="26"/>
          <w:szCs w:val="26"/>
        </w:rPr>
        <w:t>(</w:t>
      </w:r>
      <w:r w:rsidR="00F23FCD">
        <w:rPr>
          <w:b/>
          <w:bCs/>
          <w:caps/>
          <w:sz w:val="28"/>
          <w:szCs w:val="28"/>
        </w:rPr>
        <w:t>satrc</w:t>
      </w:r>
      <w:r>
        <w:rPr>
          <w:b/>
          <w:bCs/>
          <w:caps/>
          <w:sz w:val="28"/>
          <w:szCs w:val="28"/>
        </w:rPr>
        <w:t>)</w:t>
      </w:r>
      <w:r w:rsidR="00F23FCD">
        <w:rPr>
          <w:b/>
          <w:bCs/>
          <w:caps/>
          <w:sz w:val="28"/>
          <w:szCs w:val="28"/>
        </w:rPr>
        <w:t xml:space="preserve"> action plan phase </w:t>
      </w:r>
      <w:r w:rsidR="005C532B">
        <w:rPr>
          <w:b/>
          <w:bCs/>
          <w:caps/>
          <w:sz w:val="28"/>
          <w:szCs w:val="28"/>
        </w:rPr>
        <w:t>V</w:t>
      </w:r>
      <w:r w:rsidR="00A87992">
        <w:rPr>
          <w:b/>
          <w:bCs/>
          <w:caps/>
          <w:sz w:val="28"/>
          <w:szCs w:val="28"/>
        </w:rPr>
        <w:t>I</w:t>
      </w:r>
      <w:r w:rsidR="00492E77">
        <w:rPr>
          <w:b/>
          <w:bCs/>
          <w:caps/>
          <w:sz w:val="28"/>
          <w:szCs w:val="28"/>
        </w:rPr>
        <w:t>I</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C357AD" w:rsidRDefault="00C357AD" w:rsidP="00C357AD">
      <w:pPr>
        <w:jc w:val="both"/>
      </w:pPr>
    </w:p>
    <w:p w:rsidR="00C357AD" w:rsidRDefault="00C357AD" w:rsidP="00C357AD">
      <w:pPr>
        <w:jc w:val="both"/>
      </w:pPr>
    </w:p>
    <w:p w:rsidR="00C357AD" w:rsidRDefault="00C357AD" w:rsidP="00C357AD">
      <w:pPr>
        <w:jc w:val="both"/>
      </w:pPr>
    </w:p>
    <w:p w:rsidR="00FD592E" w:rsidRPr="00FD592E" w:rsidRDefault="00FD592E" w:rsidP="00FD592E"/>
    <w:p w:rsidR="00FD592E" w:rsidRDefault="00FD592E"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304715" w:rsidRDefault="00304715" w:rsidP="00FD592E"/>
    <w:p w:rsidR="00304715" w:rsidRDefault="00304715" w:rsidP="00FD592E"/>
    <w:p w:rsidR="00304715" w:rsidRDefault="00304715"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Pr>
        <w:sectPr w:rsidR="00C843CC" w:rsidSect="002B4E08">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pgNumType w:start="1"/>
          <w:cols w:space="720"/>
          <w:titlePg/>
          <w:docGrid w:linePitch="360"/>
        </w:sectPr>
      </w:pPr>
    </w:p>
    <w:p w:rsidR="00A55DD6" w:rsidRPr="00A55DD6" w:rsidRDefault="00A55DD6" w:rsidP="00A55DD6">
      <w:pPr>
        <w:jc w:val="center"/>
        <w:rPr>
          <w:b/>
          <w:bCs/>
          <w:caps/>
        </w:rPr>
      </w:pPr>
      <w:r w:rsidRPr="00A55DD6">
        <w:rPr>
          <w:b/>
        </w:rPr>
        <w:lastRenderedPageBreak/>
        <w:t>SOUTH ASIAN TELECOMMUNICATION REGULATORS’ COUNCI</w:t>
      </w:r>
      <w:r>
        <w:rPr>
          <w:b/>
        </w:rPr>
        <w:t>L</w:t>
      </w:r>
    </w:p>
    <w:p w:rsidR="00A55DD6" w:rsidRPr="00A55DD6" w:rsidRDefault="00A55DD6" w:rsidP="00A55DD6">
      <w:pPr>
        <w:jc w:val="center"/>
        <w:rPr>
          <w:b/>
          <w:bCs/>
          <w:caps/>
        </w:rPr>
      </w:pPr>
      <w:r>
        <w:rPr>
          <w:b/>
          <w:bCs/>
          <w:caps/>
        </w:rPr>
        <w:t>(</w:t>
      </w:r>
      <w:r w:rsidRPr="00A55DD6">
        <w:rPr>
          <w:b/>
          <w:bCs/>
          <w:caps/>
        </w:rPr>
        <w:t>satrc</w:t>
      </w:r>
      <w:r>
        <w:rPr>
          <w:b/>
          <w:bCs/>
          <w:caps/>
        </w:rPr>
        <w:t>)</w:t>
      </w:r>
      <w:r w:rsidRPr="00A55DD6">
        <w:rPr>
          <w:b/>
          <w:bCs/>
          <w:caps/>
        </w:rPr>
        <w:t xml:space="preserve"> action plan phase VII</w:t>
      </w:r>
    </w:p>
    <w:p w:rsidR="00A55DD6" w:rsidRPr="00A55DD6" w:rsidRDefault="00A55DD6" w:rsidP="000F2EB0">
      <w:pPr>
        <w:rPr>
          <w:bCs/>
        </w:rPr>
      </w:pPr>
    </w:p>
    <w:p w:rsidR="00A55DD6" w:rsidRPr="00A55DD6" w:rsidRDefault="00A55DD6" w:rsidP="000F2EB0">
      <w:pPr>
        <w:rPr>
          <w:bCs/>
        </w:rPr>
      </w:pPr>
    </w:p>
    <w:p w:rsidR="00C843CC" w:rsidRPr="00A55DD6" w:rsidRDefault="000F2EB0" w:rsidP="00A55DD6">
      <w:pPr>
        <w:pStyle w:val="ListParagraph"/>
        <w:numPr>
          <w:ilvl w:val="0"/>
          <w:numId w:val="22"/>
        </w:numPr>
        <w:tabs>
          <w:tab w:val="left" w:pos="540"/>
        </w:tabs>
        <w:ind w:left="540" w:hanging="540"/>
        <w:rPr>
          <w:b/>
        </w:rPr>
      </w:pPr>
      <w:r w:rsidRPr="00A55DD6">
        <w:rPr>
          <w:b/>
        </w:rPr>
        <w:t>OBJECTIVE</w:t>
      </w:r>
    </w:p>
    <w:p w:rsidR="00C843CC" w:rsidRDefault="00C843CC" w:rsidP="00A55DD6"/>
    <w:p w:rsidR="000F2EB0" w:rsidRDefault="000F2EB0" w:rsidP="000F2EB0">
      <w:pPr>
        <w:jc w:val="both"/>
      </w:pPr>
      <w:r>
        <w:t xml:space="preserve">The SATRC activities are conducted through the SATRC Action Plan at different phases. </w:t>
      </w:r>
      <w:r w:rsidRPr="00BE1F44">
        <w:t>The concept of developing SATRC Action Plan was initiated</w:t>
      </w:r>
      <w:r>
        <w:t xml:space="preserve"> in 2005</w:t>
      </w:r>
      <w:r w:rsidRPr="00BE1F44">
        <w:t xml:space="preserve"> from the fact that the key issues can be addressed in a more focused and </w:t>
      </w:r>
      <w:r w:rsidR="001663E8">
        <w:t>harmonized</w:t>
      </w:r>
      <w:r w:rsidRPr="00BE1F44">
        <w:t xml:space="preserve"> manner by adoption of an Action Plan.</w:t>
      </w:r>
      <w:r>
        <w:t xml:space="preserve"> </w:t>
      </w:r>
      <w:r w:rsidRPr="00BE1F44">
        <w:t>The Action Plan provides a common charter to SATRC members for deriving the synergy of collaborative wisdom and action.</w:t>
      </w:r>
    </w:p>
    <w:p w:rsidR="000F2EB0" w:rsidRDefault="000F2EB0" w:rsidP="000F2EB0">
      <w:pPr>
        <w:jc w:val="both"/>
      </w:pPr>
    </w:p>
    <w:p w:rsidR="00E41A8F" w:rsidRDefault="00C843CC" w:rsidP="000F2EB0">
      <w:pPr>
        <w:jc w:val="both"/>
      </w:pPr>
      <w:r w:rsidRPr="00717133">
        <w:t>The SATRC Action Plan aims at addressing the regulatory issues and challenges of common concern to its members that arise due to market dynamics, technological developments, and innovations in the field of information and communications so as to harness their full potential for the benefit of all by utilizing the expertise and financial resources available from within its member countries</w:t>
      </w:r>
      <w:r w:rsidR="005C532B">
        <w:t xml:space="preserve">. </w:t>
      </w:r>
    </w:p>
    <w:p w:rsidR="00E41A8F" w:rsidRDefault="00E41A8F" w:rsidP="002B4E08">
      <w:pPr>
        <w:jc w:val="both"/>
      </w:pPr>
    </w:p>
    <w:p w:rsidR="00C843CC" w:rsidRDefault="000F2EB0" w:rsidP="000F2EB0">
      <w:pPr>
        <w:jc w:val="both"/>
      </w:pPr>
      <w:r>
        <w:t xml:space="preserve">The </w:t>
      </w:r>
      <w:r w:rsidR="00E41A8F">
        <w:t xml:space="preserve">Action Plan Phase </w:t>
      </w:r>
      <w:r w:rsidR="005C532B">
        <w:t>V</w:t>
      </w:r>
      <w:r w:rsidR="00095A1C">
        <w:t>I</w:t>
      </w:r>
      <w:r w:rsidR="00EB56AC">
        <w:t>I</w:t>
      </w:r>
      <w:r>
        <w:t xml:space="preserve"> </w:t>
      </w:r>
      <w:r w:rsidR="001663E8">
        <w:t xml:space="preserve">was </w:t>
      </w:r>
      <w:r>
        <w:t xml:space="preserve">adopted by the </w:t>
      </w:r>
      <w:r w:rsidR="00EB56AC">
        <w:t>19</w:t>
      </w:r>
      <w:r w:rsidR="00095A1C">
        <w:t xml:space="preserve">th </w:t>
      </w:r>
      <w:r w:rsidR="004613DF">
        <w:t xml:space="preserve">Meeting of </w:t>
      </w:r>
      <w:r>
        <w:t xml:space="preserve">SATRC </w:t>
      </w:r>
      <w:r w:rsidR="004613DF">
        <w:t>(SATRC-19)</w:t>
      </w:r>
      <w:r>
        <w:t xml:space="preserve"> in </w:t>
      </w:r>
      <w:r w:rsidR="00EB56AC">
        <w:t>Islamabad</w:t>
      </w:r>
      <w:r>
        <w:t xml:space="preserve">, </w:t>
      </w:r>
      <w:r w:rsidR="00EB56AC">
        <w:t>Pakistan</w:t>
      </w:r>
      <w:r>
        <w:t xml:space="preserve">. The implementation period for Action Plan </w:t>
      </w:r>
      <w:r w:rsidR="00095A1C">
        <w:t xml:space="preserve">Phase </w:t>
      </w:r>
      <w:r>
        <w:t>V</w:t>
      </w:r>
      <w:r w:rsidR="00EB56AC">
        <w:t>II would be 2019 – 2020</w:t>
      </w:r>
      <w:r>
        <w:t>. In the implementation of Action Plan Phase V</w:t>
      </w:r>
      <w:r w:rsidR="00095A1C">
        <w:t>I</w:t>
      </w:r>
      <w:r w:rsidR="00EB56AC">
        <w:t>I</w:t>
      </w:r>
      <w:r>
        <w:t xml:space="preserve">, </w:t>
      </w:r>
      <w:r w:rsidR="00C843CC">
        <w:t xml:space="preserve">SATRC will cover a </w:t>
      </w:r>
      <w:r w:rsidR="00DE20EE">
        <w:t>wide variety of issues related to</w:t>
      </w:r>
      <w:r w:rsidR="005C532B">
        <w:t xml:space="preserve"> the regulators under two working</w:t>
      </w:r>
      <w:r w:rsidR="00DE20EE">
        <w:t xml:space="preserve"> groups</w:t>
      </w:r>
      <w:r>
        <w:t xml:space="preserve"> as </w:t>
      </w:r>
      <w:r w:rsidR="00095A1C">
        <w:t>described below</w:t>
      </w:r>
      <w:r>
        <w:t>.</w:t>
      </w:r>
      <w:r w:rsidR="005C532B">
        <w:t xml:space="preserve"> </w:t>
      </w:r>
    </w:p>
    <w:p w:rsidR="005C532B" w:rsidRPr="00C843CC" w:rsidRDefault="005C532B" w:rsidP="002B4E08">
      <w:pPr>
        <w:rPr>
          <w:b/>
        </w:rPr>
      </w:pPr>
    </w:p>
    <w:p w:rsidR="000F2EB0" w:rsidRDefault="000F2EB0" w:rsidP="000F2EB0">
      <w:pPr>
        <w:rPr>
          <w:b/>
        </w:rPr>
      </w:pPr>
    </w:p>
    <w:p w:rsidR="00C843CC" w:rsidRPr="000F2EB0" w:rsidRDefault="000F2EB0" w:rsidP="00A55DD6">
      <w:pPr>
        <w:pStyle w:val="ListParagraph"/>
        <w:numPr>
          <w:ilvl w:val="0"/>
          <w:numId w:val="22"/>
        </w:numPr>
        <w:tabs>
          <w:tab w:val="left" w:pos="540"/>
        </w:tabs>
        <w:ind w:left="540" w:hanging="540"/>
        <w:rPr>
          <w:b/>
        </w:rPr>
      </w:pPr>
      <w:r w:rsidRPr="000F2EB0">
        <w:rPr>
          <w:b/>
        </w:rPr>
        <w:t>STRUCTURE</w:t>
      </w:r>
    </w:p>
    <w:p w:rsidR="000F2EB0" w:rsidRDefault="000F2EB0" w:rsidP="000F2EB0"/>
    <w:p w:rsidR="000F2EB0" w:rsidRDefault="000F2EB0" w:rsidP="000F2EB0">
      <w:pPr>
        <w:pStyle w:val="ListParagraph"/>
        <w:ind w:left="0"/>
        <w:jc w:val="both"/>
        <w:rPr>
          <w:bCs/>
        </w:rPr>
      </w:pPr>
      <w:r>
        <w:rPr>
          <w:bCs/>
        </w:rPr>
        <w:t>The two W</w:t>
      </w:r>
      <w:r w:rsidR="00D73038">
        <w:rPr>
          <w:bCs/>
        </w:rPr>
        <w:t xml:space="preserve">orking Groups of the SAP Phase </w:t>
      </w:r>
      <w:r>
        <w:rPr>
          <w:bCs/>
        </w:rPr>
        <w:t>V</w:t>
      </w:r>
      <w:r w:rsidR="00EB56AC">
        <w:rPr>
          <w:bCs/>
        </w:rPr>
        <w:t>I</w:t>
      </w:r>
      <w:r>
        <w:rPr>
          <w:bCs/>
        </w:rPr>
        <w:t xml:space="preserve"> worked very efficiently and developed the outcomes as planned in a timely manner. Following two Working Groups will continue their activities:</w:t>
      </w:r>
    </w:p>
    <w:p w:rsidR="000F2EB0" w:rsidRDefault="000F2EB0" w:rsidP="000F2EB0">
      <w:pPr>
        <w:pStyle w:val="ListParagraph"/>
        <w:ind w:left="0"/>
        <w:jc w:val="both"/>
        <w:rPr>
          <w:bCs/>
        </w:rPr>
      </w:pPr>
    </w:p>
    <w:p w:rsidR="000F2EB0" w:rsidRPr="0023715A" w:rsidRDefault="000F2EB0" w:rsidP="000F2EB0">
      <w:pPr>
        <w:pStyle w:val="ListParagraph"/>
        <w:numPr>
          <w:ilvl w:val="0"/>
          <w:numId w:val="18"/>
        </w:numPr>
        <w:jc w:val="both"/>
        <w:rPr>
          <w:bCs/>
        </w:rPr>
      </w:pPr>
      <w:r w:rsidRPr="00D6736D">
        <w:rPr>
          <w:b/>
        </w:rPr>
        <w:t xml:space="preserve">Working Group Policy, Regulation and </w:t>
      </w:r>
      <w:r>
        <w:rPr>
          <w:b/>
        </w:rPr>
        <w:t>Services</w:t>
      </w:r>
      <w:r w:rsidRPr="00D6736D">
        <w:rPr>
          <w:b/>
        </w:rPr>
        <w:t>:</w:t>
      </w:r>
      <w:r>
        <w:rPr>
          <w:bCs/>
        </w:rPr>
        <w:t xml:space="preserve"> </w:t>
      </w:r>
      <w:r>
        <w:t>to deal with the issues related to policy, regulation and service development of Telecommunication and ICT sector in the region</w:t>
      </w:r>
    </w:p>
    <w:p w:rsidR="000F2EB0" w:rsidRPr="00E11EE0" w:rsidRDefault="000F2EB0" w:rsidP="000F2EB0">
      <w:pPr>
        <w:numPr>
          <w:ilvl w:val="0"/>
          <w:numId w:val="18"/>
        </w:numPr>
        <w:jc w:val="both"/>
        <w:rPr>
          <w:b/>
        </w:rPr>
      </w:pPr>
      <w:r>
        <w:rPr>
          <w:b/>
        </w:rPr>
        <w:t xml:space="preserve">Working Group on </w:t>
      </w:r>
      <w:r w:rsidRPr="00E11EE0">
        <w:rPr>
          <w:b/>
        </w:rPr>
        <w:t>Spectrum:</w:t>
      </w:r>
      <w:r>
        <w:rPr>
          <w:b/>
        </w:rPr>
        <w:t xml:space="preserve"> </w:t>
      </w:r>
      <w:r>
        <w:t xml:space="preserve">to deal with the issues related to spectrum management, monitoring, sharing and coordinated efficient use of spectrum for different service in the region </w:t>
      </w:r>
    </w:p>
    <w:p w:rsidR="000F2EB0" w:rsidRDefault="000F2EB0" w:rsidP="000F2EB0">
      <w:pPr>
        <w:pStyle w:val="ListParagraph"/>
        <w:ind w:left="0"/>
        <w:rPr>
          <w:bCs/>
        </w:rPr>
      </w:pPr>
    </w:p>
    <w:p w:rsidR="00100E5F" w:rsidRDefault="000F2EB0" w:rsidP="000F2EB0">
      <w:pPr>
        <w:pStyle w:val="ListParagraph"/>
        <w:ind w:left="0"/>
        <w:jc w:val="both"/>
      </w:pPr>
      <w:r w:rsidRPr="00D6736D">
        <w:t xml:space="preserve">Working Group will study the </w:t>
      </w:r>
      <w:r>
        <w:t>work items</w:t>
      </w:r>
      <w:r w:rsidRPr="00D6736D">
        <w:t xml:space="preserve"> as decided by the SATRC</w:t>
      </w:r>
      <w:r>
        <w:t xml:space="preserve"> Meeting.</w:t>
      </w:r>
      <w:r w:rsidRPr="00D6736D">
        <w:t xml:space="preserve"> SATRC will base its decision on the relevance and practical use of the study</w:t>
      </w:r>
      <w:r>
        <w:t xml:space="preserve"> outcomes</w:t>
      </w:r>
      <w:r w:rsidRPr="00D6736D">
        <w:t>.</w:t>
      </w:r>
      <w:r>
        <w:t xml:space="preserve"> </w:t>
      </w:r>
      <w:r w:rsidRPr="00D6736D">
        <w:t>In view of t</w:t>
      </w:r>
      <w:r>
        <w:t>he dynamic nature of the sector</w:t>
      </w:r>
      <w:r w:rsidRPr="00D6736D">
        <w:t>,</w:t>
      </w:r>
      <w:r>
        <w:t xml:space="preserve"> </w:t>
      </w:r>
      <w:r w:rsidRPr="00D6736D">
        <w:t xml:space="preserve">it is important that the </w:t>
      </w:r>
      <w:r>
        <w:t xml:space="preserve">study on work items </w:t>
      </w:r>
      <w:r w:rsidRPr="00D6736D">
        <w:t xml:space="preserve">be </w:t>
      </w:r>
      <w:r>
        <w:t xml:space="preserve">done </w:t>
      </w:r>
      <w:r w:rsidRPr="00D6736D">
        <w:t xml:space="preserve">within </w:t>
      </w:r>
      <w:r>
        <w:t>short period of time</w:t>
      </w:r>
      <w:r w:rsidRPr="00D6736D">
        <w:t>.</w:t>
      </w:r>
      <w:r>
        <w:t xml:space="preserve"> </w:t>
      </w:r>
    </w:p>
    <w:p w:rsidR="00100E5F" w:rsidRDefault="00100E5F" w:rsidP="000F2EB0">
      <w:pPr>
        <w:pStyle w:val="ListParagraph"/>
        <w:ind w:left="0"/>
        <w:jc w:val="both"/>
      </w:pPr>
    </w:p>
    <w:p w:rsidR="000F2EB0" w:rsidRPr="00D6736D" w:rsidRDefault="00100E5F" w:rsidP="000F2EB0">
      <w:pPr>
        <w:pStyle w:val="ListParagraph"/>
        <w:ind w:left="0"/>
        <w:jc w:val="both"/>
      </w:pPr>
      <w:r>
        <w:t>The</w:t>
      </w:r>
      <w:r w:rsidRPr="0023715A">
        <w:t xml:space="preserve"> effectivenes</w:t>
      </w:r>
      <w:r>
        <w:t>s of the Working Groups can be further improved by on</w:t>
      </w:r>
      <w:r w:rsidRPr="0023715A">
        <w:t xml:space="preserve">line </w:t>
      </w:r>
      <w:r>
        <w:t xml:space="preserve">working </w:t>
      </w:r>
      <w:r w:rsidRPr="0023715A">
        <w:t>and enhanced part</w:t>
      </w:r>
      <w:r>
        <w:t xml:space="preserve">icipation of the relevant experts in physical meetings and </w:t>
      </w:r>
      <w:proofErr w:type="spellStart"/>
      <w:r>
        <w:t>e-meetings</w:t>
      </w:r>
      <w:proofErr w:type="spellEnd"/>
      <w:r>
        <w:t xml:space="preserve">. </w:t>
      </w:r>
      <w:r w:rsidR="000F2EB0">
        <w:t xml:space="preserve">Working Groups will be able to undertake more work items which </w:t>
      </w:r>
      <w:r w:rsidR="000F2EB0" w:rsidRPr="00D6736D">
        <w:t xml:space="preserve">can be approved by the </w:t>
      </w:r>
      <w:r w:rsidR="000F2EB0">
        <w:t xml:space="preserve">SATRC </w:t>
      </w:r>
      <w:r w:rsidR="000F2EB0" w:rsidRPr="00D6736D">
        <w:t>Chairman by electronic consultation.</w:t>
      </w:r>
      <w:r w:rsidR="000F2EB0">
        <w:t xml:space="preserve"> </w:t>
      </w:r>
      <w:r w:rsidR="000F2EB0" w:rsidRPr="00D6736D">
        <w:t>In order to facilitate smooth working, it is requested that after approval of the</w:t>
      </w:r>
      <w:r w:rsidR="001663E8">
        <w:t xml:space="preserve"> Action Plan Phase V</w:t>
      </w:r>
      <w:r w:rsidR="00D73038">
        <w:t>I</w:t>
      </w:r>
      <w:r w:rsidR="005A3BBA">
        <w:t>I</w:t>
      </w:r>
      <w:r w:rsidR="001663E8">
        <w:t xml:space="preserve"> by</w:t>
      </w:r>
      <w:r w:rsidR="000F2EB0" w:rsidRPr="00D6736D">
        <w:t xml:space="preserve"> SATRC, the names of the experts should be confirmed urgently. </w:t>
      </w:r>
    </w:p>
    <w:p w:rsidR="000F2EB0" w:rsidRPr="00D6736D" w:rsidRDefault="000F2EB0" w:rsidP="002B4E08">
      <w:pPr>
        <w:jc w:val="both"/>
      </w:pPr>
    </w:p>
    <w:p w:rsidR="000F2EB0" w:rsidRDefault="000F2EB0" w:rsidP="000F2EB0">
      <w:pPr>
        <w:pStyle w:val="ListParagraph"/>
        <w:ind w:left="0"/>
        <w:rPr>
          <w:bCs/>
        </w:rPr>
      </w:pPr>
      <w:r>
        <w:rPr>
          <w:bCs/>
        </w:rPr>
        <w:t>Besides Working Groups activities, SAP Phase V</w:t>
      </w:r>
      <w:r w:rsidR="00D73038">
        <w:rPr>
          <w:bCs/>
        </w:rPr>
        <w:t>I</w:t>
      </w:r>
      <w:r>
        <w:rPr>
          <w:bCs/>
        </w:rPr>
        <w:t xml:space="preserve"> will also include:</w:t>
      </w:r>
    </w:p>
    <w:p w:rsidR="000F2EB0" w:rsidRDefault="000F2EB0" w:rsidP="000F2EB0">
      <w:pPr>
        <w:pStyle w:val="ListParagraph"/>
        <w:ind w:left="0"/>
        <w:rPr>
          <w:bCs/>
        </w:rPr>
      </w:pPr>
    </w:p>
    <w:p w:rsidR="000F2EB0" w:rsidRPr="00A60FDC" w:rsidRDefault="000F2EB0" w:rsidP="000F2EB0">
      <w:pPr>
        <w:numPr>
          <w:ilvl w:val="0"/>
          <w:numId w:val="17"/>
        </w:numPr>
        <w:ind w:left="720" w:hanging="255"/>
        <w:jc w:val="both"/>
        <w:rPr>
          <w:b/>
        </w:rPr>
      </w:pPr>
      <w:r>
        <w:rPr>
          <w:b/>
        </w:rPr>
        <w:lastRenderedPageBreak/>
        <w:t>Capacity Building Workshops</w:t>
      </w:r>
      <w:r w:rsidR="00231283">
        <w:rPr>
          <w:b/>
        </w:rPr>
        <w:t>/Trainings</w:t>
      </w:r>
      <w:r>
        <w:rPr>
          <w:b/>
        </w:rPr>
        <w:t xml:space="preserve">: </w:t>
      </w:r>
      <w:r>
        <w:t xml:space="preserve">to organize workshops/trainings for the personnel of regulatory bodies on the recent trends in telecommunication/ICT sector. </w:t>
      </w:r>
    </w:p>
    <w:p w:rsidR="000F2EB0" w:rsidRDefault="000F2EB0" w:rsidP="000F2EB0">
      <w:pPr>
        <w:pStyle w:val="ListParagraph"/>
        <w:rPr>
          <w:b/>
        </w:rPr>
      </w:pPr>
    </w:p>
    <w:p w:rsidR="000F2EB0" w:rsidRPr="00A60FDC" w:rsidRDefault="000F2EB0" w:rsidP="000F2EB0">
      <w:pPr>
        <w:numPr>
          <w:ilvl w:val="0"/>
          <w:numId w:val="17"/>
        </w:numPr>
        <w:ind w:left="720" w:hanging="255"/>
        <w:jc w:val="both"/>
        <w:rPr>
          <w:b/>
        </w:rPr>
      </w:pPr>
      <w:r>
        <w:rPr>
          <w:b/>
        </w:rPr>
        <w:t xml:space="preserve">SATRC Web Portal: </w:t>
      </w:r>
      <w:r>
        <w:t>to collect the information from regulatory bodies and publish it of SATRC webpage for information sharing among the regulators</w:t>
      </w:r>
      <w:r w:rsidR="00EB56AC">
        <w:t>. APT Secretariat will send circular requesting SATRC Members to list the information to share on SATRC Web Portal.</w:t>
      </w:r>
    </w:p>
    <w:p w:rsidR="000F2EB0" w:rsidRDefault="000F2EB0" w:rsidP="000F2EB0">
      <w:pPr>
        <w:pStyle w:val="ListParagraph"/>
        <w:ind w:left="0"/>
        <w:rPr>
          <w:bCs/>
        </w:rPr>
      </w:pPr>
    </w:p>
    <w:p w:rsidR="000F2EB0" w:rsidRDefault="000F2EB0" w:rsidP="000F2EB0">
      <w:pPr>
        <w:pStyle w:val="ListParagraph"/>
        <w:ind w:left="0"/>
      </w:pPr>
      <w:r w:rsidRPr="00A60FDC">
        <w:rPr>
          <w:b/>
        </w:rPr>
        <w:t>Working Procedure for the Working Groups:</w:t>
      </w:r>
      <w:r>
        <w:t xml:space="preserve">  The Working Groups will maintain the following working procedure:</w:t>
      </w:r>
    </w:p>
    <w:p w:rsidR="000F2EB0" w:rsidRDefault="000F2EB0" w:rsidP="000F2EB0">
      <w:pPr>
        <w:pStyle w:val="ListParagraph"/>
        <w:ind w:left="0"/>
      </w:pPr>
    </w:p>
    <w:p w:rsidR="000F2EB0" w:rsidRDefault="000F2EB0" w:rsidP="000F2EB0">
      <w:pPr>
        <w:pStyle w:val="ListParagraph"/>
        <w:numPr>
          <w:ilvl w:val="0"/>
          <w:numId w:val="12"/>
        </w:numPr>
        <w:spacing w:after="120"/>
        <w:jc w:val="both"/>
      </w:pPr>
      <w:r>
        <w:t>Working Group will be chaired by nominee from one of the regulators</w:t>
      </w:r>
    </w:p>
    <w:p w:rsidR="000F2EB0" w:rsidRDefault="000F2EB0" w:rsidP="000F2EB0">
      <w:pPr>
        <w:pStyle w:val="ListParagraph"/>
        <w:numPr>
          <w:ilvl w:val="0"/>
          <w:numId w:val="12"/>
        </w:numPr>
        <w:spacing w:after="120"/>
        <w:jc w:val="both"/>
      </w:pPr>
      <w:r>
        <w:t>There should be at least one expert from each member regulator in each Working Group</w:t>
      </w:r>
    </w:p>
    <w:p w:rsidR="000F2EB0" w:rsidRDefault="000F2EB0" w:rsidP="000F2EB0">
      <w:pPr>
        <w:pStyle w:val="ListParagraph"/>
        <w:numPr>
          <w:ilvl w:val="0"/>
          <w:numId w:val="12"/>
        </w:numPr>
        <w:spacing w:after="120"/>
        <w:jc w:val="both"/>
      </w:pPr>
      <w:r>
        <w:t>Regulators may nominate and encourage experts on relevant work from the  industry  sector of their country</w:t>
      </w:r>
    </w:p>
    <w:p w:rsidR="000F2EB0" w:rsidRDefault="000F2EB0" w:rsidP="000F2EB0">
      <w:pPr>
        <w:pStyle w:val="ListParagraph"/>
        <w:numPr>
          <w:ilvl w:val="0"/>
          <w:numId w:val="12"/>
        </w:numPr>
        <w:spacing w:after="120"/>
        <w:jc w:val="both"/>
      </w:pPr>
      <w:r>
        <w:t>Each working group will work on a number of work items relevant to the need of the SATRC region</w:t>
      </w:r>
    </w:p>
    <w:p w:rsidR="000F2EB0" w:rsidRDefault="000F2EB0" w:rsidP="000F2EB0">
      <w:pPr>
        <w:pStyle w:val="ListParagraph"/>
        <w:numPr>
          <w:ilvl w:val="0"/>
          <w:numId w:val="12"/>
        </w:numPr>
        <w:spacing w:after="120"/>
        <w:jc w:val="both"/>
      </w:pPr>
      <w:r>
        <w:t>Work items will be proposed by the regulators, working group experts and SATRC consultant considering the needs of the regulators and the industry</w:t>
      </w:r>
    </w:p>
    <w:p w:rsidR="000F2EB0" w:rsidRDefault="000F2EB0" w:rsidP="000F2EB0">
      <w:pPr>
        <w:pStyle w:val="ListParagraph"/>
        <w:numPr>
          <w:ilvl w:val="0"/>
          <w:numId w:val="12"/>
        </w:numPr>
        <w:spacing w:after="120"/>
        <w:jc w:val="both"/>
      </w:pPr>
      <w:r>
        <w:t xml:space="preserve">Working group will have one physical meeting in a year. Beside physical meetings working group should conduct online activities through email reflector. The venue of the working group will be decided based on the invitation of the member regulators or APT Secretariat. </w:t>
      </w:r>
    </w:p>
    <w:p w:rsidR="000F2EB0" w:rsidRDefault="000F2EB0" w:rsidP="000F2EB0">
      <w:pPr>
        <w:pStyle w:val="ListParagraph"/>
        <w:numPr>
          <w:ilvl w:val="0"/>
          <w:numId w:val="12"/>
        </w:numPr>
        <w:spacing w:after="120"/>
        <w:jc w:val="both"/>
      </w:pPr>
      <w:r>
        <w:t>For attending the working group meeting one fellowship</w:t>
      </w:r>
      <w:r w:rsidR="001663E8">
        <w:t xml:space="preserve"> per SATRC member</w:t>
      </w:r>
      <w:r>
        <w:t xml:space="preserve">  will be granted</w:t>
      </w:r>
    </w:p>
    <w:p w:rsidR="000F2EB0" w:rsidRDefault="000F2EB0" w:rsidP="000F2EB0">
      <w:pPr>
        <w:pStyle w:val="ListParagraph"/>
        <w:numPr>
          <w:ilvl w:val="0"/>
          <w:numId w:val="12"/>
        </w:numPr>
        <w:spacing w:after="120"/>
        <w:jc w:val="both"/>
      </w:pPr>
      <w:r>
        <w:t>Working group will decide the scopes of work of each working items</w:t>
      </w:r>
    </w:p>
    <w:p w:rsidR="000F2EB0" w:rsidRDefault="000F2EB0" w:rsidP="000F2EB0">
      <w:pPr>
        <w:pStyle w:val="ListParagraph"/>
        <w:numPr>
          <w:ilvl w:val="0"/>
          <w:numId w:val="12"/>
        </w:numPr>
        <w:spacing w:after="120"/>
        <w:jc w:val="both"/>
      </w:pPr>
      <w:r>
        <w:t>The output of each work items could be a SATRC Report or Guideline or Opinion as decided by the working groups</w:t>
      </w:r>
    </w:p>
    <w:p w:rsidR="006F2536" w:rsidRDefault="000F2EB0" w:rsidP="00C843CC">
      <w:pPr>
        <w:pStyle w:val="ListParagraph"/>
        <w:numPr>
          <w:ilvl w:val="0"/>
          <w:numId w:val="12"/>
        </w:numPr>
        <w:spacing w:after="120"/>
        <w:jc w:val="both"/>
      </w:pPr>
      <w:r>
        <w:t>All the outputs of the working groups must have to be approved by the next immediate meeting of the SATRC</w:t>
      </w: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numPr>
          <w:ilvl w:val="0"/>
          <w:numId w:val="9"/>
        </w:numPr>
        <w:rPr>
          <w:b/>
        </w:rPr>
        <w:sectPr w:rsidR="006F2536" w:rsidSect="002B4E08">
          <w:pgSz w:w="11909" w:h="16834" w:code="9"/>
          <w:pgMar w:top="1152" w:right="1296" w:bottom="1296" w:left="1440" w:header="720" w:footer="720" w:gutter="0"/>
          <w:pgNumType w:start="2"/>
          <w:cols w:space="720"/>
          <w:titlePg/>
          <w:docGrid w:linePitch="360"/>
        </w:sectPr>
      </w:pPr>
    </w:p>
    <w:p w:rsidR="00C843CC" w:rsidRDefault="00E41A8F" w:rsidP="002B4E08">
      <w:pPr>
        <w:pStyle w:val="ListParagraph"/>
        <w:numPr>
          <w:ilvl w:val="0"/>
          <w:numId w:val="22"/>
        </w:numPr>
        <w:tabs>
          <w:tab w:val="left" w:pos="540"/>
        </w:tabs>
        <w:ind w:left="540" w:hanging="540"/>
        <w:rPr>
          <w:b/>
        </w:rPr>
      </w:pPr>
      <w:r>
        <w:rPr>
          <w:b/>
        </w:rPr>
        <w:lastRenderedPageBreak/>
        <w:t xml:space="preserve">Work </w:t>
      </w:r>
      <w:r w:rsidR="00C843CC" w:rsidRPr="00C843CC">
        <w:rPr>
          <w:b/>
        </w:rPr>
        <w:t>Plan and Estimated Budget</w:t>
      </w:r>
      <w:r>
        <w:rPr>
          <w:b/>
        </w:rPr>
        <w:t xml:space="preserve"> for SATRC Acti</w:t>
      </w:r>
      <w:r w:rsidR="001B508D">
        <w:rPr>
          <w:b/>
        </w:rPr>
        <w:t>on Plan Phase VI</w:t>
      </w:r>
      <w:r w:rsidR="006446BF">
        <w:rPr>
          <w:b/>
        </w:rPr>
        <w:t>I: Time Frame 2019 – 2020</w:t>
      </w:r>
      <w:r w:rsidR="00C843CC" w:rsidRPr="00C843CC">
        <w:rPr>
          <w:b/>
        </w:rPr>
        <w:t xml:space="preserve"> </w:t>
      </w:r>
    </w:p>
    <w:p w:rsidR="00DE20EE" w:rsidRDefault="00DE20EE" w:rsidP="00DE20EE">
      <w:pPr>
        <w:rPr>
          <w:b/>
        </w:rPr>
      </w:pP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8" w:type="dxa"/>
          <w:right w:w="58" w:type="dxa"/>
        </w:tblCellMar>
        <w:tblLook w:val="04A0" w:firstRow="1" w:lastRow="0" w:firstColumn="1" w:lastColumn="0" w:noHBand="0" w:noVBand="1"/>
      </w:tblPr>
      <w:tblGrid>
        <w:gridCol w:w="720"/>
        <w:gridCol w:w="2592"/>
        <w:gridCol w:w="2736"/>
        <w:gridCol w:w="2880"/>
        <w:gridCol w:w="1872"/>
        <w:gridCol w:w="1296"/>
        <w:gridCol w:w="2016"/>
      </w:tblGrid>
      <w:tr w:rsidR="0039430D" w:rsidRPr="00CF1E6E" w:rsidTr="004613DF">
        <w:trPr>
          <w:tblHeader/>
        </w:trPr>
        <w:tc>
          <w:tcPr>
            <w:tcW w:w="720" w:type="dxa"/>
            <w:shd w:val="pct10" w:color="auto" w:fill="auto"/>
            <w:vAlign w:val="center"/>
          </w:tcPr>
          <w:p w:rsidR="00DE20EE" w:rsidRPr="00EA7BBC" w:rsidRDefault="00DE20EE" w:rsidP="00EA7BBC">
            <w:pPr>
              <w:jc w:val="center"/>
              <w:rPr>
                <w:b/>
              </w:rPr>
            </w:pPr>
            <w:r w:rsidRPr="00EA7BBC">
              <w:rPr>
                <w:b/>
              </w:rPr>
              <w:t>Sl. No</w:t>
            </w:r>
          </w:p>
        </w:tc>
        <w:tc>
          <w:tcPr>
            <w:tcW w:w="2592" w:type="dxa"/>
            <w:shd w:val="pct10" w:color="auto" w:fill="auto"/>
            <w:vAlign w:val="center"/>
          </w:tcPr>
          <w:p w:rsidR="00DE20EE" w:rsidRPr="00CF1E6E" w:rsidRDefault="0048298D" w:rsidP="00EA7BBC">
            <w:pPr>
              <w:jc w:val="center"/>
              <w:rPr>
                <w:b/>
              </w:rPr>
            </w:pPr>
            <w:r>
              <w:rPr>
                <w:b/>
              </w:rPr>
              <w:t>Activities</w:t>
            </w:r>
          </w:p>
        </w:tc>
        <w:tc>
          <w:tcPr>
            <w:tcW w:w="2736" w:type="dxa"/>
            <w:shd w:val="pct10" w:color="auto" w:fill="auto"/>
            <w:vAlign w:val="center"/>
          </w:tcPr>
          <w:p w:rsidR="00DE20EE" w:rsidRPr="00CF1E6E" w:rsidRDefault="00DE20EE" w:rsidP="00EA7BBC">
            <w:pPr>
              <w:jc w:val="center"/>
              <w:rPr>
                <w:b/>
              </w:rPr>
            </w:pPr>
            <w:r w:rsidRPr="00CF1E6E">
              <w:rPr>
                <w:b/>
              </w:rPr>
              <w:t>Methodology</w:t>
            </w:r>
          </w:p>
        </w:tc>
        <w:tc>
          <w:tcPr>
            <w:tcW w:w="2880" w:type="dxa"/>
            <w:shd w:val="pct10" w:color="auto" w:fill="auto"/>
            <w:vAlign w:val="center"/>
          </w:tcPr>
          <w:p w:rsidR="00DE20EE" w:rsidRPr="00CF1E6E" w:rsidRDefault="00DE20EE" w:rsidP="00EA7BBC">
            <w:pPr>
              <w:jc w:val="center"/>
              <w:rPr>
                <w:b/>
              </w:rPr>
            </w:pPr>
            <w:r w:rsidRPr="00CF1E6E">
              <w:rPr>
                <w:b/>
              </w:rPr>
              <w:t>Work Items</w:t>
            </w:r>
          </w:p>
        </w:tc>
        <w:tc>
          <w:tcPr>
            <w:tcW w:w="1872" w:type="dxa"/>
            <w:shd w:val="pct10" w:color="auto" w:fill="auto"/>
            <w:vAlign w:val="center"/>
          </w:tcPr>
          <w:p w:rsidR="00DE20EE" w:rsidRPr="00CF1E6E" w:rsidRDefault="00DE20EE" w:rsidP="00EA7BBC">
            <w:pPr>
              <w:jc w:val="center"/>
              <w:rPr>
                <w:b/>
              </w:rPr>
            </w:pPr>
            <w:r w:rsidRPr="00CF1E6E">
              <w:rPr>
                <w:b/>
              </w:rPr>
              <w:t>Expected Output</w:t>
            </w:r>
          </w:p>
        </w:tc>
        <w:tc>
          <w:tcPr>
            <w:tcW w:w="1296" w:type="dxa"/>
            <w:shd w:val="pct10" w:color="auto" w:fill="auto"/>
            <w:vAlign w:val="center"/>
          </w:tcPr>
          <w:p w:rsidR="00DE20EE" w:rsidRPr="00CF1E6E" w:rsidRDefault="00DE20EE" w:rsidP="00EA7BBC">
            <w:pPr>
              <w:jc w:val="center"/>
              <w:rPr>
                <w:b/>
              </w:rPr>
            </w:pPr>
            <w:r w:rsidRPr="00CF1E6E">
              <w:rPr>
                <w:b/>
              </w:rPr>
              <w:t>Estimated Budget (US$)</w:t>
            </w:r>
          </w:p>
        </w:tc>
        <w:tc>
          <w:tcPr>
            <w:tcW w:w="2016" w:type="dxa"/>
            <w:shd w:val="pct10" w:color="auto" w:fill="auto"/>
            <w:vAlign w:val="center"/>
          </w:tcPr>
          <w:p w:rsidR="00DE20EE" w:rsidRPr="00CF1E6E" w:rsidRDefault="00DE20EE" w:rsidP="00EA7BBC">
            <w:pPr>
              <w:jc w:val="center"/>
              <w:rPr>
                <w:b/>
              </w:rPr>
            </w:pPr>
            <w:r w:rsidRPr="00CF1E6E">
              <w:rPr>
                <w:b/>
              </w:rPr>
              <w:t>Remarks</w:t>
            </w:r>
          </w:p>
        </w:tc>
      </w:tr>
      <w:tr w:rsidR="00CF083B" w:rsidRPr="00CF1E6E" w:rsidTr="004613DF">
        <w:trPr>
          <w:trHeight w:val="663"/>
        </w:trPr>
        <w:tc>
          <w:tcPr>
            <w:tcW w:w="720" w:type="dxa"/>
            <w:vMerge w:val="restart"/>
          </w:tcPr>
          <w:p w:rsidR="00CF083B" w:rsidRPr="00EA7BBC" w:rsidRDefault="00CF083B" w:rsidP="00CF1E6E">
            <w:pPr>
              <w:jc w:val="center"/>
              <w:rPr>
                <w:b/>
              </w:rPr>
            </w:pPr>
            <w:r w:rsidRPr="00EA7BBC">
              <w:rPr>
                <w:b/>
              </w:rPr>
              <w:t>1.</w:t>
            </w:r>
          </w:p>
        </w:tc>
        <w:tc>
          <w:tcPr>
            <w:tcW w:w="2592" w:type="dxa"/>
            <w:vMerge w:val="restart"/>
          </w:tcPr>
          <w:p w:rsidR="00CF083B" w:rsidRPr="00CF1E6E" w:rsidRDefault="00CF083B" w:rsidP="00DE20EE">
            <w:pPr>
              <w:rPr>
                <w:b/>
              </w:rPr>
            </w:pPr>
            <w:r>
              <w:rPr>
                <w:b/>
              </w:rPr>
              <w:t xml:space="preserve">Working Group Policy, </w:t>
            </w:r>
            <w:r w:rsidRPr="00CF1E6E">
              <w:rPr>
                <w:b/>
              </w:rPr>
              <w:t>Regulation</w:t>
            </w:r>
            <w:r>
              <w:rPr>
                <w:b/>
              </w:rPr>
              <w:t xml:space="preserve"> and Services</w:t>
            </w:r>
          </w:p>
        </w:tc>
        <w:tc>
          <w:tcPr>
            <w:tcW w:w="2736" w:type="dxa"/>
            <w:vMerge w:val="restart"/>
          </w:tcPr>
          <w:p w:rsidR="004613DF" w:rsidRDefault="00CF083B" w:rsidP="0048298D">
            <w:r>
              <w:t xml:space="preserve">Working Group will chaired by </w:t>
            </w:r>
            <w:r w:rsidR="005A3BBA">
              <w:t>Pakistan</w:t>
            </w:r>
            <w:r>
              <w:t xml:space="preserve">. </w:t>
            </w:r>
          </w:p>
          <w:p w:rsidR="004613DF" w:rsidRDefault="004613DF" w:rsidP="0048298D"/>
          <w:p w:rsidR="00CF083B" w:rsidRDefault="005A3BBA" w:rsidP="0048298D">
            <w:r>
              <w:t>Bangladesh and Nepal</w:t>
            </w:r>
            <w:r w:rsidR="00CF083B">
              <w:t xml:space="preserve"> will provide Vice-Chairmen. At least one expert from each SATRC Country. </w:t>
            </w:r>
          </w:p>
          <w:p w:rsidR="00CF083B" w:rsidRDefault="00CF083B" w:rsidP="0048298D"/>
          <w:p w:rsidR="00CF083B" w:rsidRDefault="00CF083B" w:rsidP="0048298D">
            <w:r>
              <w:t>One physical meeting per year. Electronic meetings will be organized monthly/</w:t>
            </w:r>
            <w:r w:rsidR="00EA7BBC">
              <w:br/>
            </w:r>
            <w:r>
              <w:t xml:space="preserve">bi-monthly basis. </w:t>
            </w:r>
          </w:p>
          <w:p w:rsidR="00CF083B" w:rsidRDefault="00CF083B" w:rsidP="0048298D"/>
          <w:p w:rsidR="00CF083B" w:rsidRPr="00DE20EE" w:rsidRDefault="00CF083B" w:rsidP="00B84343">
            <w:r>
              <w:t>Working Group will define the scope of each work item and expected outputs in defined time frame</w:t>
            </w:r>
          </w:p>
        </w:tc>
        <w:tc>
          <w:tcPr>
            <w:tcW w:w="2880" w:type="dxa"/>
          </w:tcPr>
          <w:p w:rsidR="005A3BBA" w:rsidRPr="00DE20EE" w:rsidRDefault="005A3BBA" w:rsidP="00EA7BBC">
            <w:pPr>
              <w:pStyle w:val="ListParagraph"/>
              <w:numPr>
                <w:ilvl w:val="0"/>
                <w:numId w:val="9"/>
              </w:numPr>
              <w:ind w:left="288" w:hanging="288"/>
            </w:pPr>
            <w:r>
              <w:t xml:space="preserve">Regulatory approaches to enhance </w:t>
            </w:r>
            <w:proofErr w:type="spellStart"/>
            <w:r>
              <w:t>QoS</w:t>
            </w:r>
            <w:proofErr w:type="spellEnd"/>
            <w:r>
              <w:t xml:space="preserve"> of Mobile Operators</w:t>
            </w:r>
          </w:p>
        </w:tc>
        <w:tc>
          <w:tcPr>
            <w:tcW w:w="1872" w:type="dxa"/>
            <w:vMerge w:val="restart"/>
          </w:tcPr>
          <w:p w:rsidR="00CF083B" w:rsidRDefault="00CF083B" w:rsidP="00DE20EE">
            <w:r>
              <w:t xml:space="preserve">SATRC </w:t>
            </w:r>
          </w:p>
          <w:p w:rsidR="00CF083B" w:rsidRDefault="00CF083B" w:rsidP="00DE20EE">
            <w:r>
              <w:t>Reports/</w:t>
            </w:r>
          </w:p>
          <w:p w:rsidR="00CF083B" w:rsidRDefault="00CF083B" w:rsidP="00DE20EE">
            <w:r>
              <w:t>Guidelines</w:t>
            </w:r>
          </w:p>
          <w:p w:rsidR="00CF083B" w:rsidRPr="00DE20EE" w:rsidRDefault="00CF083B" w:rsidP="00DE20EE"/>
        </w:tc>
        <w:tc>
          <w:tcPr>
            <w:tcW w:w="1296" w:type="dxa"/>
            <w:vMerge w:val="restart"/>
          </w:tcPr>
          <w:p w:rsidR="00CF083B" w:rsidRPr="00CF1E6E" w:rsidRDefault="00CF083B" w:rsidP="00EA7BBC">
            <w:pPr>
              <w:ind w:right="144"/>
              <w:jc w:val="right"/>
              <w:rPr>
                <w:b/>
              </w:rPr>
            </w:pPr>
            <w:r>
              <w:rPr>
                <w:b/>
              </w:rPr>
              <w:t>30</w:t>
            </w:r>
            <w:r w:rsidRPr="00CF1E6E">
              <w:rPr>
                <w:b/>
              </w:rPr>
              <w:t>,000</w:t>
            </w:r>
          </w:p>
        </w:tc>
        <w:tc>
          <w:tcPr>
            <w:tcW w:w="2016" w:type="dxa"/>
            <w:vMerge w:val="restart"/>
          </w:tcPr>
          <w:p w:rsidR="00CF083B" w:rsidRDefault="00CF083B" w:rsidP="00DE20EE">
            <w:r>
              <w:t>One fellowship will be granted for each SATRC Members for attending Working Group Meeting.</w:t>
            </w:r>
          </w:p>
          <w:p w:rsidR="00CF083B" w:rsidRPr="00DE20EE" w:rsidRDefault="00CF083B" w:rsidP="00DE20EE"/>
        </w:tc>
      </w:tr>
      <w:tr w:rsidR="00CF083B" w:rsidRPr="00CF1E6E" w:rsidTr="004613DF">
        <w:trPr>
          <w:trHeight w:val="663"/>
        </w:trPr>
        <w:tc>
          <w:tcPr>
            <w:tcW w:w="720" w:type="dxa"/>
            <w:vMerge/>
          </w:tcPr>
          <w:p w:rsidR="00CF083B" w:rsidRPr="00EA7BBC" w:rsidRDefault="00CF083B" w:rsidP="00CF1E6E">
            <w:pPr>
              <w:jc w:val="center"/>
              <w:rPr>
                <w:b/>
              </w:rPr>
            </w:pPr>
          </w:p>
        </w:tc>
        <w:tc>
          <w:tcPr>
            <w:tcW w:w="2592" w:type="dxa"/>
            <w:vMerge/>
          </w:tcPr>
          <w:p w:rsidR="00CF083B" w:rsidRPr="00CF1E6E" w:rsidRDefault="00CF083B" w:rsidP="00DE20EE">
            <w:pPr>
              <w:rPr>
                <w:b/>
              </w:rPr>
            </w:pPr>
          </w:p>
        </w:tc>
        <w:tc>
          <w:tcPr>
            <w:tcW w:w="2736" w:type="dxa"/>
            <w:vMerge/>
          </w:tcPr>
          <w:p w:rsidR="00CF083B" w:rsidRDefault="00CF083B" w:rsidP="00DE20EE"/>
        </w:tc>
        <w:tc>
          <w:tcPr>
            <w:tcW w:w="2880" w:type="dxa"/>
          </w:tcPr>
          <w:p w:rsidR="00CF083B" w:rsidRPr="008E1178" w:rsidRDefault="005A3BBA" w:rsidP="00EA7BBC">
            <w:pPr>
              <w:pStyle w:val="ListParagraph"/>
              <w:numPr>
                <w:ilvl w:val="0"/>
                <w:numId w:val="9"/>
              </w:numPr>
              <w:ind w:left="288" w:hanging="288"/>
              <w:rPr>
                <w:color w:val="000000" w:themeColor="text1"/>
              </w:rPr>
            </w:pPr>
            <w:r>
              <w:rPr>
                <w:color w:val="000000" w:themeColor="text1"/>
              </w:rPr>
              <w:t xml:space="preserve">Digital </w:t>
            </w:r>
            <w:r w:rsidRPr="00EA7BBC">
              <w:t>Financial</w:t>
            </w:r>
            <w:r>
              <w:rPr>
                <w:color w:val="000000" w:themeColor="text1"/>
              </w:rPr>
              <w:t xml:space="preserve"> Services</w:t>
            </w:r>
          </w:p>
        </w:tc>
        <w:tc>
          <w:tcPr>
            <w:tcW w:w="1872" w:type="dxa"/>
            <w:vMerge/>
          </w:tcPr>
          <w:p w:rsidR="00CF083B" w:rsidRDefault="00CF083B" w:rsidP="00DE20EE"/>
        </w:tc>
        <w:tc>
          <w:tcPr>
            <w:tcW w:w="1296" w:type="dxa"/>
            <w:vMerge/>
          </w:tcPr>
          <w:p w:rsidR="00CF083B" w:rsidRDefault="00CF083B" w:rsidP="00CF1E6E">
            <w:pPr>
              <w:jc w:val="right"/>
            </w:pPr>
          </w:p>
        </w:tc>
        <w:tc>
          <w:tcPr>
            <w:tcW w:w="2016" w:type="dxa"/>
            <w:vMerge/>
          </w:tcPr>
          <w:p w:rsidR="00CF083B" w:rsidRPr="00DE20EE" w:rsidRDefault="00CF083B" w:rsidP="00DE20EE"/>
        </w:tc>
      </w:tr>
      <w:tr w:rsidR="005A3BBA" w:rsidRPr="00CF1E6E" w:rsidTr="004613DF">
        <w:trPr>
          <w:trHeight w:val="3130"/>
        </w:trPr>
        <w:tc>
          <w:tcPr>
            <w:tcW w:w="720" w:type="dxa"/>
            <w:vMerge/>
          </w:tcPr>
          <w:p w:rsidR="005A3BBA" w:rsidRPr="00EA7BBC" w:rsidRDefault="005A3BBA" w:rsidP="00CF1E6E">
            <w:pPr>
              <w:jc w:val="center"/>
              <w:rPr>
                <w:b/>
              </w:rPr>
            </w:pPr>
          </w:p>
        </w:tc>
        <w:tc>
          <w:tcPr>
            <w:tcW w:w="2592" w:type="dxa"/>
            <w:vMerge/>
          </w:tcPr>
          <w:p w:rsidR="005A3BBA" w:rsidRPr="00CF1E6E" w:rsidRDefault="005A3BBA" w:rsidP="00DE20EE">
            <w:pPr>
              <w:rPr>
                <w:b/>
              </w:rPr>
            </w:pPr>
          </w:p>
        </w:tc>
        <w:tc>
          <w:tcPr>
            <w:tcW w:w="2736" w:type="dxa"/>
            <w:vMerge/>
          </w:tcPr>
          <w:p w:rsidR="005A3BBA" w:rsidRDefault="005A3BBA" w:rsidP="00DE20EE"/>
        </w:tc>
        <w:tc>
          <w:tcPr>
            <w:tcW w:w="2880" w:type="dxa"/>
          </w:tcPr>
          <w:p w:rsidR="005A3BBA" w:rsidRPr="00DE20EE" w:rsidRDefault="005A3BBA" w:rsidP="00EA7BBC">
            <w:pPr>
              <w:pStyle w:val="ListParagraph"/>
              <w:numPr>
                <w:ilvl w:val="0"/>
                <w:numId w:val="9"/>
              </w:numPr>
              <w:ind w:left="288" w:hanging="288"/>
            </w:pPr>
            <w:r>
              <w:t xml:space="preserve">Harmonizing ICT indicators in SATRC  </w:t>
            </w:r>
          </w:p>
        </w:tc>
        <w:tc>
          <w:tcPr>
            <w:tcW w:w="1872" w:type="dxa"/>
            <w:vMerge/>
          </w:tcPr>
          <w:p w:rsidR="005A3BBA" w:rsidRDefault="005A3BBA" w:rsidP="00DE20EE"/>
        </w:tc>
        <w:tc>
          <w:tcPr>
            <w:tcW w:w="1296" w:type="dxa"/>
            <w:vMerge/>
          </w:tcPr>
          <w:p w:rsidR="005A3BBA" w:rsidRDefault="005A3BBA" w:rsidP="00CF1E6E">
            <w:pPr>
              <w:jc w:val="right"/>
            </w:pPr>
          </w:p>
        </w:tc>
        <w:tc>
          <w:tcPr>
            <w:tcW w:w="2016" w:type="dxa"/>
            <w:vMerge/>
          </w:tcPr>
          <w:p w:rsidR="005A3BBA" w:rsidRPr="00DE20EE" w:rsidRDefault="005A3BBA" w:rsidP="00DE20EE"/>
        </w:tc>
      </w:tr>
      <w:tr w:rsidR="00B84343" w:rsidRPr="00CF1E6E" w:rsidTr="004613DF">
        <w:trPr>
          <w:trHeight w:val="1483"/>
        </w:trPr>
        <w:tc>
          <w:tcPr>
            <w:tcW w:w="720" w:type="dxa"/>
            <w:vMerge w:val="restart"/>
          </w:tcPr>
          <w:p w:rsidR="00B84343" w:rsidRPr="00EA7BBC" w:rsidRDefault="00B84343" w:rsidP="00CF1E6E">
            <w:pPr>
              <w:jc w:val="center"/>
              <w:rPr>
                <w:b/>
              </w:rPr>
            </w:pPr>
            <w:r w:rsidRPr="00EA7BBC">
              <w:rPr>
                <w:b/>
              </w:rPr>
              <w:t>2.</w:t>
            </w:r>
          </w:p>
        </w:tc>
        <w:tc>
          <w:tcPr>
            <w:tcW w:w="2592" w:type="dxa"/>
            <w:vMerge w:val="restart"/>
          </w:tcPr>
          <w:p w:rsidR="00B84343" w:rsidRPr="00CF1E6E" w:rsidRDefault="00354C21" w:rsidP="00DE20EE">
            <w:pPr>
              <w:rPr>
                <w:b/>
              </w:rPr>
            </w:pPr>
            <w:r>
              <w:rPr>
                <w:b/>
              </w:rPr>
              <w:t xml:space="preserve">Working Group </w:t>
            </w:r>
            <w:r w:rsidR="00B84343" w:rsidRPr="00CF1E6E">
              <w:rPr>
                <w:b/>
              </w:rPr>
              <w:t>Spectrum</w:t>
            </w:r>
          </w:p>
        </w:tc>
        <w:tc>
          <w:tcPr>
            <w:tcW w:w="2736" w:type="dxa"/>
            <w:vMerge w:val="restart"/>
          </w:tcPr>
          <w:p w:rsidR="00B84343" w:rsidRDefault="00B84343" w:rsidP="00DE20EE">
            <w:r>
              <w:t xml:space="preserve">Working Group chaired by </w:t>
            </w:r>
            <w:r w:rsidRPr="009E0BF8">
              <w:t>India.</w:t>
            </w:r>
            <w:r>
              <w:t xml:space="preserve"> </w:t>
            </w:r>
          </w:p>
          <w:p w:rsidR="004613DF" w:rsidRDefault="004613DF" w:rsidP="00B84343"/>
          <w:p w:rsidR="00B84343" w:rsidRDefault="003B0DDA" w:rsidP="00B84343">
            <w:r>
              <w:t>Afghanistan</w:t>
            </w:r>
            <w:r w:rsidR="009E0BF8">
              <w:t xml:space="preserve"> and Islamic Republic of Iran will provide Vice-Chairme</w:t>
            </w:r>
            <w:r w:rsidR="00B84343">
              <w:t xml:space="preserve">n. At least one expert from each SATRC Country. </w:t>
            </w:r>
          </w:p>
          <w:p w:rsidR="00B84343" w:rsidRDefault="00B84343" w:rsidP="00DE20EE">
            <w:r>
              <w:lastRenderedPageBreak/>
              <w:t>One physical meeting per year.</w:t>
            </w:r>
            <w:r w:rsidR="001B508D">
              <w:t xml:space="preserve"> Electronic meetings will be organized monthly/bi-monthly basis.</w:t>
            </w:r>
          </w:p>
          <w:p w:rsidR="00B84343" w:rsidRDefault="00B84343" w:rsidP="00DE20EE"/>
          <w:p w:rsidR="00B84343" w:rsidRPr="00DE20EE" w:rsidRDefault="00B84343" w:rsidP="00DE20EE">
            <w:r>
              <w:t>Working Group will define the scope of each work item and expected outputs in defined time frame</w:t>
            </w:r>
          </w:p>
        </w:tc>
        <w:tc>
          <w:tcPr>
            <w:tcW w:w="2880" w:type="dxa"/>
          </w:tcPr>
          <w:p w:rsidR="00B84343" w:rsidRPr="00DE20EE" w:rsidRDefault="001C7753" w:rsidP="00EA7BBC">
            <w:pPr>
              <w:pStyle w:val="ListParagraph"/>
              <w:numPr>
                <w:ilvl w:val="0"/>
                <w:numId w:val="21"/>
              </w:numPr>
              <w:ind w:left="288" w:hanging="288"/>
            </w:pPr>
            <w:r>
              <w:lastRenderedPageBreak/>
              <w:t xml:space="preserve">Assessment of current practices in spectrum management and developing spectrum roadmap </w:t>
            </w:r>
          </w:p>
        </w:tc>
        <w:tc>
          <w:tcPr>
            <w:tcW w:w="1872" w:type="dxa"/>
            <w:vMerge w:val="restart"/>
          </w:tcPr>
          <w:p w:rsidR="00B84343" w:rsidRDefault="00B84343" w:rsidP="00FD3C5E">
            <w:r>
              <w:t xml:space="preserve">SATRC </w:t>
            </w:r>
          </w:p>
          <w:p w:rsidR="00B84343" w:rsidRDefault="001B508D" w:rsidP="00FD3C5E">
            <w:r>
              <w:t>Reports/</w:t>
            </w:r>
          </w:p>
          <w:p w:rsidR="00B84343" w:rsidRPr="00DE20EE" w:rsidRDefault="001B508D" w:rsidP="00EA7BBC">
            <w:r>
              <w:t>Guidelines</w:t>
            </w:r>
          </w:p>
        </w:tc>
        <w:tc>
          <w:tcPr>
            <w:tcW w:w="1296" w:type="dxa"/>
            <w:vMerge w:val="restart"/>
          </w:tcPr>
          <w:p w:rsidR="00B84343" w:rsidRPr="00CF1E6E" w:rsidRDefault="001B508D" w:rsidP="00EA7BBC">
            <w:pPr>
              <w:ind w:right="144"/>
              <w:jc w:val="right"/>
              <w:rPr>
                <w:b/>
              </w:rPr>
            </w:pPr>
            <w:r>
              <w:rPr>
                <w:b/>
              </w:rPr>
              <w:t>30</w:t>
            </w:r>
            <w:r w:rsidR="00B84343" w:rsidRPr="00CF1E6E">
              <w:rPr>
                <w:b/>
              </w:rPr>
              <w:t>,000</w:t>
            </w:r>
          </w:p>
        </w:tc>
        <w:tc>
          <w:tcPr>
            <w:tcW w:w="2016" w:type="dxa"/>
            <w:vMerge w:val="restart"/>
          </w:tcPr>
          <w:p w:rsidR="00B84343" w:rsidRPr="00DE20EE" w:rsidRDefault="00B84343" w:rsidP="00DE20EE">
            <w:r>
              <w:t>One fellowship will b</w:t>
            </w:r>
            <w:r w:rsidR="00C77C46">
              <w:t>e granted for each SATRC Member</w:t>
            </w:r>
            <w:r>
              <w:t xml:space="preserve"> for attending Working Group Meeting.</w:t>
            </w:r>
          </w:p>
        </w:tc>
      </w:tr>
      <w:tr w:rsidR="00B84343" w:rsidRPr="00CF1E6E" w:rsidTr="004613DF">
        <w:trPr>
          <w:trHeight w:val="907"/>
        </w:trPr>
        <w:tc>
          <w:tcPr>
            <w:tcW w:w="720" w:type="dxa"/>
            <w:vMerge/>
          </w:tcPr>
          <w:p w:rsidR="00B84343" w:rsidRPr="00EA7BBC" w:rsidRDefault="00B84343" w:rsidP="00CF1E6E">
            <w:pPr>
              <w:jc w:val="center"/>
              <w:rPr>
                <w:b/>
              </w:rPr>
            </w:pPr>
          </w:p>
        </w:tc>
        <w:tc>
          <w:tcPr>
            <w:tcW w:w="2592" w:type="dxa"/>
            <w:vMerge/>
          </w:tcPr>
          <w:p w:rsidR="00B84343" w:rsidRPr="00CF1E6E" w:rsidRDefault="00B84343" w:rsidP="00DE20EE">
            <w:pPr>
              <w:rPr>
                <w:b/>
              </w:rPr>
            </w:pPr>
          </w:p>
        </w:tc>
        <w:tc>
          <w:tcPr>
            <w:tcW w:w="2736" w:type="dxa"/>
            <w:vMerge/>
          </w:tcPr>
          <w:p w:rsidR="00B84343" w:rsidRDefault="00B84343" w:rsidP="00DE20EE"/>
        </w:tc>
        <w:tc>
          <w:tcPr>
            <w:tcW w:w="2880" w:type="dxa"/>
          </w:tcPr>
          <w:p w:rsidR="00B84343" w:rsidRPr="00DE20EE" w:rsidRDefault="001C7753" w:rsidP="00EA7BBC">
            <w:pPr>
              <w:pStyle w:val="ListParagraph"/>
              <w:numPr>
                <w:ilvl w:val="0"/>
                <w:numId w:val="21"/>
              </w:numPr>
              <w:ind w:left="288" w:hanging="288"/>
              <w:contextualSpacing/>
            </w:pPr>
            <w:r>
              <w:t>S</w:t>
            </w:r>
            <w:r w:rsidR="00CE7E22">
              <w:t xml:space="preserve">pectrum re-farming </w:t>
            </w:r>
          </w:p>
        </w:tc>
        <w:tc>
          <w:tcPr>
            <w:tcW w:w="1872" w:type="dxa"/>
            <w:vMerge/>
          </w:tcPr>
          <w:p w:rsidR="00B84343" w:rsidRDefault="00B84343" w:rsidP="0039430D"/>
        </w:tc>
        <w:tc>
          <w:tcPr>
            <w:tcW w:w="1296" w:type="dxa"/>
            <w:vMerge/>
          </w:tcPr>
          <w:p w:rsidR="00B84343" w:rsidRDefault="00B84343" w:rsidP="00CF1E6E">
            <w:pPr>
              <w:jc w:val="right"/>
            </w:pPr>
          </w:p>
        </w:tc>
        <w:tc>
          <w:tcPr>
            <w:tcW w:w="2016" w:type="dxa"/>
            <w:vMerge/>
          </w:tcPr>
          <w:p w:rsidR="00B84343" w:rsidRPr="00DE20EE" w:rsidRDefault="00B84343" w:rsidP="00DE20EE"/>
        </w:tc>
      </w:tr>
      <w:tr w:rsidR="001C7753" w:rsidRPr="00CF1E6E" w:rsidTr="004613DF">
        <w:trPr>
          <w:trHeight w:val="1501"/>
        </w:trPr>
        <w:tc>
          <w:tcPr>
            <w:tcW w:w="720" w:type="dxa"/>
            <w:vMerge/>
          </w:tcPr>
          <w:p w:rsidR="001C7753" w:rsidRPr="00EA7BBC" w:rsidRDefault="001C7753" w:rsidP="00CF1E6E">
            <w:pPr>
              <w:jc w:val="center"/>
              <w:rPr>
                <w:b/>
              </w:rPr>
            </w:pPr>
          </w:p>
        </w:tc>
        <w:tc>
          <w:tcPr>
            <w:tcW w:w="2592" w:type="dxa"/>
            <w:vMerge/>
          </w:tcPr>
          <w:p w:rsidR="001C7753" w:rsidRPr="00CF1E6E" w:rsidRDefault="001C7753" w:rsidP="00DE20EE">
            <w:pPr>
              <w:rPr>
                <w:b/>
              </w:rPr>
            </w:pPr>
          </w:p>
        </w:tc>
        <w:tc>
          <w:tcPr>
            <w:tcW w:w="2736" w:type="dxa"/>
            <w:vMerge/>
          </w:tcPr>
          <w:p w:rsidR="001C7753" w:rsidRDefault="001C7753" w:rsidP="00DE20EE"/>
        </w:tc>
        <w:tc>
          <w:tcPr>
            <w:tcW w:w="2880" w:type="dxa"/>
          </w:tcPr>
          <w:p w:rsidR="001C7753" w:rsidRPr="00DE20EE" w:rsidRDefault="00CE7E22" w:rsidP="00EA7BBC">
            <w:pPr>
              <w:pStyle w:val="ListParagraph"/>
              <w:numPr>
                <w:ilvl w:val="0"/>
                <w:numId w:val="21"/>
              </w:numPr>
              <w:ind w:left="288" w:hanging="288"/>
            </w:pPr>
            <w:r>
              <w:t xml:space="preserve">Spectrum considerations for the deployment of </w:t>
            </w:r>
            <w:proofErr w:type="spellStart"/>
            <w:r>
              <w:t>IoT</w:t>
            </w:r>
            <w:proofErr w:type="spellEnd"/>
          </w:p>
        </w:tc>
        <w:tc>
          <w:tcPr>
            <w:tcW w:w="1872" w:type="dxa"/>
            <w:vMerge/>
          </w:tcPr>
          <w:p w:rsidR="001C7753" w:rsidRDefault="001C7753" w:rsidP="0039430D"/>
        </w:tc>
        <w:tc>
          <w:tcPr>
            <w:tcW w:w="1296" w:type="dxa"/>
            <w:vMerge/>
          </w:tcPr>
          <w:p w:rsidR="001C7753" w:rsidRDefault="001C7753" w:rsidP="00CF1E6E">
            <w:pPr>
              <w:jc w:val="right"/>
            </w:pPr>
          </w:p>
        </w:tc>
        <w:tc>
          <w:tcPr>
            <w:tcW w:w="2016" w:type="dxa"/>
            <w:vMerge/>
          </w:tcPr>
          <w:p w:rsidR="001C7753" w:rsidRPr="00DE20EE" w:rsidRDefault="001C7753" w:rsidP="00DE20EE"/>
        </w:tc>
      </w:tr>
      <w:tr w:rsidR="00204E2A" w:rsidRPr="00CF1E6E" w:rsidTr="004613DF">
        <w:trPr>
          <w:trHeight w:val="430"/>
        </w:trPr>
        <w:tc>
          <w:tcPr>
            <w:tcW w:w="720" w:type="dxa"/>
            <w:vMerge w:val="restart"/>
          </w:tcPr>
          <w:p w:rsidR="00204E2A" w:rsidRPr="00EA7BBC" w:rsidRDefault="00204E2A" w:rsidP="00CF1E6E">
            <w:pPr>
              <w:jc w:val="center"/>
              <w:rPr>
                <w:b/>
              </w:rPr>
            </w:pPr>
            <w:r w:rsidRPr="00EA7BBC">
              <w:rPr>
                <w:b/>
              </w:rPr>
              <w:t>3.</w:t>
            </w:r>
          </w:p>
        </w:tc>
        <w:tc>
          <w:tcPr>
            <w:tcW w:w="2592" w:type="dxa"/>
            <w:vMerge w:val="restart"/>
          </w:tcPr>
          <w:p w:rsidR="00204E2A" w:rsidRPr="00CF1E6E" w:rsidRDefault="00204E2A" w:rsidP="00DE20EE">
            <w:pPr>
              <w:rPr>
                <w:b/>
              </w:rPr>
            </w:pPr>
            <w:r w:rsidRPr="00CF1E6E">
              <w:rPr>
                <w:b/>
              </w:rPr>
              <w:t xml:space="preserve">Capacity Building </w:t>
            </w:r>
          </w:p>
        </w:tc>
        <w:tc>
          <w:tcPr>
            <w:tcW w:w="2736" w:type="dxa"/>
            <w:vMerge w:val="restart"/>
          </w:tcPr>
          <w:p w:rsidR="00204E2A" w:rsidRPr="00DE20EE" w:rsidRDefault="00204E2A" w:rsidP="00EA7BBC">
            <w:r>
              <w:t>Three workshops will be organized. The topics would be related to the activities of the SATRC Working Group and recent trends.</w:t>
            </w:r>
            <w:r w:rsidR="00B82F23">
              <w:t xml:space="preserve"> Consultation will be conducted in order the select the themes for the workshops.</w:t>
            </w:r>
          </w:p>
        </w:tc>
        <w:tc>
          <w:tcPr>
            <w:tcW w:w="2880" w:type="dxa"/>
          </w:tcPr>
          <w:p w:rsidR="00264D61" w:rsidRDefault="00204E2A" w:rsidP="00EA7BBC">
            <w:pPr>
              <w:numPr>
                <w:ilvl w:val="0"/>
                <w:numId w:val="10"/>
              </w:numPr>
              <w:ind w:left="288" w:hanging="288"/>
            </w:pPr>
            <w:r>
              <w:t xml:space="preserve">Workshop on </w:t>
            </w:r>
            <w:r w:rsidR="00264D61">
              <w:t>policy, regulation and service related issues</w:t>
            </w:r>
          </w:p>
          <w:p w:rsidR="00204E2A" w:rsidRPr="00DE20EE" w:rsidRDefault="00204E2A" w:rsidP="00264D61">
            <w:pPr>
              <w:ind w:left="360"/>
            </w:pPr>
          </w:p>
        </w:tc>
        <w:tc>
          <w:tcPr>
            <w:tcW w:w="1872" w:type="dxa"/>
            <w:vMerge w:val="restart"/>
          </w:tcPr>
          <w:p w:rsidR="00204E2A" w:rsidRPr="00DE20EE" w:rsidRDefault="00204E2A" w:rsidP="00DE20EE"/>
        </w:tc>
        <w:tc>
          <w:tcPr>
            <w:tcW w:w="1296" w:type="dxa"/>
            <w:vMerge w:val="restart"/>
          </w:tcPr>
          <w:p w:rsidR="00204E2A" w:rsidRPr="00CF1E6E" w:rsidRDefault="003D55BC" w:rsidP="00EA7BBC">
            <w:pPr>
              <w:ind w:right="144"/>
              <w:jc w:val="right"/>
              <w:rPr>
                <w:b/>
              </w:rPr>
            </w:pPr>
            <w:r>
              <w:rPr>
                <w:b/>
              </w:rPr>
              <w:t>70</w:t>
            </w:r>
            <w:r w:rsidR="00204E2A">
              <w:rPr>
                <w:b/>
              </w:rPr>
              <w:t>,000</w:t>
            </w:r>
          </w:p>
        </w:tc>
        <w:tc>
          <w:tcPr>
            <w:tcW w:w="2016" w:type="dxa"/>
            <w:vMerge w:val="restart"/>
          </w:tcPr>
          <w:p w:rsidR="00204E2A" w:rsidRDefault="00204E2A" w:rsidP="00DE20EE">
            <w:r>
              <w:t xml:space="preserve">Two fellowships for each SATRC </w:t>
            </w:r>
            <w:r w:rsidR="003D55BC">
              <w:t>Member</w:t>
            </w:r>
            <w:r>
              <w:t xml:space="preserve"> will be granted.</w:t>
            </w:r>
          </w:p>
          <w:p w:rsidR="00204E2A" w:rsidRDefault="00204E2A" w:rsidP="00DE20EE"/>
          <w:p w:rsidR="00204E2A" w:rsidRPr="00DE20EE" w:rsidRDefault="00204E2A" w:rsidP="00322509">
            <w:r>
              <w:t xml:space="preserve">One of the Workshops will be funded by the Extra Budgetary Contributions by the Government of Japan. </w:t>
            </w:r>
          </w:p>
        </w:tc>
      </w:tr>
      <w:tr w:rsidR="00204E2A" w:rsidRPr="00CF1E6E" w:rsidTr="004613DF">
        <w:trPr>
          <w:trHeight w:val="691"/>
        </w:trPr>
        <w:tc>
          <w:tcPr>
            <w:tcW w:w="720" w:type="dxa"/>
            <w:vMerge/>
          </w:tcPr>
          <w:p w:rsidR="00204E2A" w:rsidRPr="00EA7BBC" w:rsidRDefault="00204E2A" w:rsidP="00CF1E6E">
            <w:pPr>
              <w:jc w:val="center"/>
              <w:rPr>
                <w:b/>
              </w:rPr>
            </w:pPr>
          </w:p>
        </w:tc>
        <w:tc>
          <w:tcPr>
            <w:tcW w:w="2592" w:type="dxa"/>
            <w:vMerge/>
          </w:tcPr>
          <w:p w:rsidR="00204E2A" w:rsidRPr="00CF1E6E" w:rsidRDefault="00204E2A" w:rsidP="00DE20EE">
            <w:pPr>
              <w:rPr>
                <w:b/>
              </w:rPr>
            </w:pPr>
          </w:p>
        </w:tc>
        <w:tc>
          <w:tcPr>
            <w:tcW w:w="2736" w:type="dxa"/>
            <w:vMerge/>
          </w:tcPr>
          <w:p w:rsidR="00204E2A" w:rsidRDefault="00204E2A" w:rsidP="00DE20EE"/>
        </w:tc>
        <w:tc>
          <w:tcPr>
            <w:tcW w:w="2880" w:type="dxa"/>
          </w:tcPr>
          <w:p w:rsidR="00204E2A" w:rsidRPr="00DE20EE" w:rsidRDefault="00204E2A" w:rsidP="00EA7BBC">
            <w:pPr>
              <w:numPr>
                <w:ilvl w:val="0"/>
                <w:numId w:val="10"/>
              </w:numPr>
              <w:ind w:left="288" w:hanging="288"/>
            </w:pPr>
            <w:r>
              <w:t xml:space="preserve">Workshop on </w:t>
            </w:r>
            <w:r w:rsidR="00264D61">
              <w:t xml:space="preserve">Spectrum </w:t>
            </w:r>
          </w:p>
        </w:tc>
        <w:tc>
          <w:tcPr>
            <w:tcW w:w="1872" w:type="dxa"/>
            <w:vMerge/>
          </w:tcPr>
          <w:p w:rsidR="00204E2A" w:rsidRPr="00DE20EE" w:rsidRDefault="00204E2A" w:rsidP="00DE20EE"/>
        </w:tc>
        <w:tc>
          <w:tcPr>
            <w:tcW w:w="1296" w:type="dxa"/>
            <w:vMerge/>
          </w:tcPr>
          <w:p w:rsidR="00204E2A" w:rsidRPr="00DE20EE" w:rsidRDefault="00204E2A" w:rsidP="00DE20EE"/>
        </w:tc>
        <w:tc>
          <w:tcPr>
            <w:tcW w:w="2016" w:type="dxa"/>
            <w:vMerge/>
          </w:tcPr>
          <w:p w:rsidR="00204E2A" w:rsidRPr="00DE20EE" w:rsidRDefault="00204E2A" w:rsidP="00DE20EE"/>
        </w:tc>
      </w:tr>
      <w:tr w:rsidR="00204E2A" w:rsidRPr="00CF1E6E" w:rsidTr="004613DF">
        <w:trPr>
          <w:trHeight w:val="1591"/>
        </w:trPr>
        <w:tc>
          <w:tcPr>
            <w:tcW w:w="720" w:type="dxa"/>
            <w:vMerge/>
          </w:tcPr>
          <w:p w:rsidR="00204E2A" w:rsidRPr="00EA7BBC" w:rsidRDefault="00204E2A" w:rsidP="00CF1E6E">
            <w:pPr>
              <w:jc w:val="center"/>
              <w:rPr>
                <w:b/>
              </w:rPr>
            </w:pPr>
          </w:p>
        </w:tc>
        <w:tc>
          <w:tcPr>
            <w:tcW w:w="2592" w:type="dxa"/>
            <w:vMerge/>
          </w:tcPr>
          <w:p w:rsidR="00204E2A" w:rsidRPr="00CF1E6E" w:rsidRDefault="00204E2A" w:rsidP="00DE20EE">
            <w:pPr>
              <w:rPr>
                <w:b/>
              </w:rPr>
            </w:pPr>
          </w:p>
        </w:tc>
        <w:tc>
          <w:tcPr>
            <w:tcW w:w="2736" w:type="dxa"/>
            <w:vMerge/>
          </w:tcPr>
          <w:p w:rsidR="00204E2A" w:rsidRDefault="00204E2A" w:rsidP="00DE20EE"/>
        </w:tc>
        <w:tc>
          <w:tcPr>
            <w:tcW w:w="2880" w:type="dxa"/>
          </w:tcPr>
          <w:p w:rsidR="00204E2A" w:rsidRDefault="00204E2A" w:rsidP="00EA7BBC">
            <w:pPr>
              <w:numPr>
                <w:ilvl w:val="0"/>
                <w:numId w:val="10"/>
              </w:numPr>
              <w:ind w:left="288" w:hanging="288"/>
            </w:pPr>
            <w:r>
              <w:t xml:space="preserve">Workshop </w:t>
            </w:r>
            <w:r w:rsidR="00B82F23">
              <w:t xml:space="preserve">on </w:t>
            </w:r>
            <w:r>
              <w:t>recent trend and technologies</w:t>
            </w:r>
          </w:p>
        </w:tc>
        <w:tc>
          <w:tcPr>
            <w:tcW w:w="1872" w:type="dxa"/>
            <w:vMerge/>
          </w:tcPr>
          <w:p w:rsidR="00204E2A" w:rsidRPr="00DE20EE" w:rsidRDefault="00204E2A" w:rsidP="00DE20EE"/>
        </w:tc>
        <w:tc>
          <w:tcPr>
            <w:tcW w:w="1296" w:type="dxa"/>
            <w:vMerge/>
          </w:tcPr>
          <w:p w:rsidR="00204E2A" w:rsidRPr="00DE20EE" w:rsidRDefault="00204E2A" w:rsidP="00DE20EE"/>
        </w:tc>
        <w:tc>
          <w:tcPr>
            <w:tcW w:w="2016" w:type="dxa"/>
            <w:vMerge/>
          </w:tcPr>
          <w:p w:rsidR="00204E2A" w:rsidRPr="00DE20EE" w:rsidRDefault="00204E2A" w:rsidP="00DE20EE"/>
        </w:tc>
      </w:tr>
      <w:tr w:rsidR="0039430D" w:rsidRPr="00CF1E6E" w:rsidTr="004613DF">
        <w:tc>
          <w:tcPr>
            <w:tcW w:w="720" w:type="dxa"/>
          </w:tcPr>
          <w:p w:rsidR="00DE20EE" w:rsidRPr="00EA7BBC" w:rsidRDefault="00B70CA5" w:rsidP="00CF1E6E">
            <w:pPr>
              <w:jc w:val="center"/>
              <w:rPr>
                <w:b/>
              </w:rPr>
            </w:pPr>
            <w:r w:rsidRPr="00EA7BBC">
              <w:rPr>
                <w:b/>
              </w:rPr>
              <w:t>4</w:t>
            </w:r>
            <w:r w:rsidR="00DE20EE" w:rsidRPr="00EA7BBC">
              <w:rPr>
                <w:b/>
              </w:rPr>
              <w:t>.</w:t>
            </w:r>
          </w:p>
        </w:tc>
        <w:tc>
          <w:tcPr>
            <w:tcW w:w="2592" w:type="dxa"/>
          </w:tcPr>
          <w:p w:rsidR="00DE20EE" w:rsidRPr="00CF1E6E" w:rsidRDefault="003D55BC" w:rsidP="003D55BC">
            <w:pPr>
              <w:rPr>
                <w:b/>
              </w:rPr>
            </w:pPr>
            <w:r>
              <w:rPr>
                <w:b/>
              </w:rPr>
              <w:t>Facilities for electronic meetings and remote participation</w:t>
            </w:r>
          </w:p>
        </w:tc>
        <w:tc>
          <w:tcPr>
            <w:tcW w:w="2736" w:type="dxa"/>
          </w:tcPr>
          <w:p w:rsidR="00DE20EE" w:rsidRPr="00DE20EE" w:rsidRDefault="003D55BC" w:rsidP="00EA7BBC">
            <w:r>
              <w:t xml:space="preserve">To organize the e-Meetings of the WGs in between physical meetings. It will also facilitate the participation of the experts who cannot attend the physical meetings of the WGs  </w:t>
            </w:r>
          </w:p>
        </w:tc>
        <w:tc>
          <w:tcPr>
            <w:tcW w:w="2880" w:type="dxa"/>
          </w:tcPr>
          <w:p w:rsidR="00DE20EE" w:rsidRPr="00DE20EE" w:rsidRDefault="003D55BC" w:rsidP="00DE20EE">
            <w:r>
              <w:t>Facilities to be organized</w:t>
            </w:r>
            <w:r w:rsidR="006D6D39">
              <w:t xml:space="preserve"> by APT Secretariat</w:t>
            </w:r>
          </w:p>
        </w:tc>
        <w:tc>
          <w:tcPr>
            <w:tcW w:w="1872" w:type="dxa"/>
          </w:tcPr>
          <w:p w:rsidR="00DE20EE" w:rsidRPr="00DE20EE" w:rsidRDefault="003D55BC" w:rsidP="00DE20EE">
            <w:r>
              <w:t>Electronic meeting facilities and remote participation at SATRC events</w:t>
            </w:r>
          </w:p>
        </w:tc>
        <w:tc>
          <w:tcPr>
            <w:tcW w:w="1296" w:type="dxa"/>
          </w:tcPr>
          <w:p w:rsidR="00DE20EE" w:rsidRPr="00DE20EE" w:rsidRDefault="003D55BC" w:rsidP="00EA7BBC">
            <w:pPr>
              <w:ind w:right="144"/>
              <w:jc w:val="right"/>
            </w:pPr>
            <w:r>
              <w:t>3,000</w:t>
            </w:r>
          </w:p>
        </w:tc>
        <w:tc>
          <w:tcPr>
            <w:tcW w:w="2016" w:type="dxa"/>
          </w:tcPr>
          <w:p w:rsidR="00DE20EE" w:rsidRPr="00DE20EE" w:rsidRDefault="00C26E99" w:rsidP="003D55BC">
            <w:r>
              <w:t xml:space="preserve">APT Secretariat will </w:t>
            </w:r>
            <w:r w:rsidR="003D55BC">
              <w:t>purchase necessary hardware and software for providing the facilities</w:t>
            </w:r>
          </w:p>
        </w:tc>
      </w:tr>
      <w:tr w:rsidR="00322509" w:rsidRPr="00CF1E6E" w:rsidTr="004613DF">
        <w:tc>
          <w:tcPr>
            <w:tcW w:w="720" w:type="dxa"/>
          </w:tcPr>
          <w:p w:rsidR="00322509" w:rsidRPr="00EA7BBC" w:rsidRDefault="00B70CA5" w:rsidP="00CF1E6E">
            <w:pPr>
              <w:jc w:val="center"/>
              <w:rPr>
                <w:b/>
              </w:rPr>
            </w:pPr>
            <w:r w:rsidRPr="00EA7BBC">
              <w:rPr>
                <w:b/>
              </w:rPr>
              <w:lastRenderedPageBreak/>
              <w:t>5</w:t>
            </w:r>
            <w:r w:rsidR="00322509" w:rsidRPr="00EA7BBC">
              <w:rPr>
                <w:b/>
              </w:rPr>
              <w:t>.</w:t>
            </w:r>
          </w:p>
        </w:tc>
        <w:tc>
          <w:tcPr>
            <w:tcW w:w="2592" w:type="dxa"/>
          </w:tcPr>
          <w:p w:rsidR="00322509" w:rsidRPr="00CF1E6E" w:rsidRDefault="00002D12" w:rsidP="00DE20EE">
            <w:pPr>
              <w:rPr>
                <w:b/>
              </w:rPr>
            </w:pPr>
            <w:r>
              <w:rPr>
                <w:b/>
              </w:rPr>
              <w:t>Facilitation of fellowship for SATRC</w:t>
            </w:r>
          </w:p>
        </w:tc>
        <w:tc>
          <w:tcPr>
            <w:tcW w:w="2736" w:type="dxa"/>
          </w:tcPr>
          <w:p w:rsidR="00322509" w:rsidRDefault="00002D12" w:rsidP="006446BF">
            <w:r>
              <w:t>To facilitate the allocation of fellowship</w:t>
            </w:r>
            <w:r w:rsidR="006446BF">
              <w:t>s</w:t>
            </w:r>
            <w:r>
              <w:t xml:space="preserve"> for SATRC Members</w:t>
            </w:r>
            <w:r w:rsidR="006446BF">
              <w:t>,</w:t>
            </w:r>
            <w:r>
              <w:t xml:space="preserve"> particularly</w:t>
            </w:r>
            <w:r w:rsidR="006446BF">
              <w:t xml:space="preserve">,  Chairman </w:t>
            </w:r>
            <w:r>
              <w:t xml:space="preserve">and Lead Experts </w:t>
            </w:r>
            <w:r w:rsidR="006446BF">
              <w:t xml:space="preserve">of the Working Groups </w:t>
            </w:r>
            <w:r>
              <w:t xml:space="preserve">to attend the SATRC Meetings </w:t>
            </w:r>
          </w:p>
        </w:tc>
        <w:tc>
          <w:tcPr>
            <w:tcW w:w="2880" w:type="dxa"/>
          </w:tcPr>
          <w:p w:rsidR="00322509" w:rsidRDefault="00322509" w:rsidP="00DE20EE"/>
        </w:tc>
        <w:tc>
          <w:tcPr>
            <w:tcW w:w="1872" w:type="dxa"/>
          </w:tcPr>
          <w:p w:rsidR="00322509" w:rsidRDefault="00322509" w:rsidP="00DE20EE"/>
        </w:tc>
        <w:tc>
          <w:tcPr>
            <w:tcW w:w="1296" w:type="dxa"/>
          </w:tcPr>
          <w:p w:rsidR="00322509" w:rsidRPr="00DE20EE" w:rsidRDefault="008E1178" w:rsidP="00EA7BBC">
            <w:pPr>
              <w:ind w:right="144"/>
              <w:jc w:val="right"/>
            </w:pPr>
            <w:r>
              <w:rPr>
                <w:b/>
              </w:rPr>
              <w:t>20</w:t>
            </w:r>
            <w:r w:rsidRPr="00CF1E6E">
              <w:rPr>
                <w:b/>
              </w:rPr>
              <w:t>,000</w:t>
            </w:r>
          </w:p>
        </w:tc>
        <w:tc>
          <w:tcPr>
            <w:tcW w:w="2016" w:type="dxa"/>
          </w:tcPr>
          <w:p w:rsidR="00322509" w:rsidRDefault="006446BF" w:rsidP="00C77C46">
            <w:r>
              <w:t xml:space="preserve">SATRC Members to nominate Chairman and Lead Experts of the Working Groups to attend SATRC Meetings </w:t>
            </w:r>
          </w:p>
        </w:tc>
      </w:tr>
      <w:tr w:rsidR="0039430D" w:rsidRPr="00CF1E6E" w:rsidTr="004613DF">
        <w:tc>
          <w:tcPr>
            <w:tcW w:w="720" w:type="dxa"/>
          </w:tcPr>
          <w:p w:rsidR="00DE20EE" w:rsidRPr="00EA7BBC" w:rsidRDefault="00B70CA5" w:rsidP="00CF1E6E">
            <w:pPr>
              <w:jc w:val="center"/>
              <w:rPr>
                <w:b/>
              </w:rPr>
            </w:pPr>
            <w:r w:rsidRPr="00EA7BBC">
              <w:rPr>
                <w:b/>
              </w:rPr>
              <w:t>6</w:t>
            </w:r>
            <w:r w:rsidR="006D6D39" w:rsidRPr="00EA7BBC">
              <w:rPr>
                <w:b/>
              </w:rPr>
              <w:t>.</w:t>
            </w:r>
          </w:p>
        </w:tc>
        <w:tc>
          <w:tcPr>
            <w:tcW w:w="2592" w:type="dxa"/>
          </w:tcPr>
          <w:p w:rsidR="00DE20EE" w:rsidRPr="00CF1E6E" w:rsidRDefault="003D55BC" w:rsidP="00DE20EE">
            <w:pPr>
              <w:rPr>
                <w:b/>
              </w:rPr>
            </w:pPr>
            <w:r>
              <w:rPr>
                <w:b/>
              </w:rPr>
              <w:t xml:space="preserve">Auditing and </w:t>
            </w:r>
            <w:r w:rsidRPr="00CF1E6E">
              <w:rPr>
                <w:b/>
              </w:rPr>
              <w:t>Miscellaneous Expenses</w:t>
            </w:r>
          </w:p>
        </w:tc>
        <w:tc>
          <w:tcPr>
            <w:tcW w:w="2736" w:type="dxa"/>
          </w:tcPr>
          <w:p w:rsidR="00DE20EE" w:rsidRPr="00DE20EE" w:rsidRDefault="003D55BC" w:rsidP="00DE20EE">
            <w:r>
              <w:t>Including the auditing fees of the EBC SATRC</w:t>
            </w:r>
          </w:p>
        </w:tc>
        <w:tc>
          <w:tcPr>
            <w:tcW w:w="2880" w:type="dxa"/>
          </w:tcPr>
          <w:p w:rsidR="00DE20EE" w:rsidRPr="00DE20EE" w:rsidRDefault="00DE20EE" w:rsidP="00DE20EE"/>
        </w:tc>
        <w:tc>
          <w:tcPr>
            <w:tcW w:w="1872" w:type="dxa"/>
          </w:tcPr>
          <w:p w:rsidR="00DE20EE" w:rsidRPr="00DE20EE" w:rsidRDefault="00DE20EE" w:rsidP="00DE20EE"/>
        </w:tc>
        <w:tc>
          <w:tcPr>
            <w:tcW w:w="1296" w:type="dxa"/>
          </w:tcPr>
          <w:p w:rsidR="00DE20EE" w:rsidRPr="00CF1E6E" w:rsidRDefault="003D55BC" w:rsidP="00EA7BBC">
            <w:pPr>
              <w:ind w:right="144"/>
              <w:jc w:val="right"/>
              <w:rPr>
                <w:b/>
              </w:rPr>
            </w:pPr>
            <w:r>
              <w:rPr>
                <w:b/>
              </w:rPr>
              <w:t>2</w:t>
            </w:r>
            <w:r w:rsidR="00F361B6">
              <w:rPr>
                <w:b/>
              </w:rPr>
              <w:t>,500</w:t>
            </w:r>
          </w:p>
        </w:tc>
        <w:tc>
          <w:tcPr>
            <w:tcW w:w="2016" w:type="dxa"/>
          </w:tcPr>
          <w:p w:rsidR="00DE20EE" w:rsidRPr="00DE20EE" w:rsidRDefault="003D55BC" w:rsidP="00552567">
            <w:r>
              <w:t xml:space="preserve">APT Secretariat will communicate with the audit </w:t>
            </w:r>
            <w:r w:rsidR="00552567">
              <w:t xml:space="preserve">firm </w:t>
            </w:r>
            <w:r>
              <w:t>to conduct the audit</w:t>
            </w:r>
          </w:p>
        </w:tc>
      </w:tr>
      <w:tr w:rsidR="00E91EA8" w:rsidRPr="00CF1E6E" w:rsidTr="004613DF">
        <w:tc>
          <w:tcPr>
            <w:tcW w:w="720" w:type="dxa"/>
            <w:tcBorders>
              <w:bottom w:val="single" w:sz="8" w:space="0" w:color="000000"/>
            </w:tcBorders>
          </w:tcPr>
          <w:p w:rsidR="00E91EA8" w:rsidRPr="00EA7BBC" w:rsidRDefault="00B70CA5" w:rsidP="00CF1E6E">
            <w:pPr>
              <w:jc w:val="center"/>
              <w:rPr>
                <w:b/>
              </w:rPr>
            </w:pPr>
            <w:r w:rsidRPr="00EA7BBC">
              <w:rPr>
                <w:b/>
              </w:rPr>
              <w:t>7</w:t>
            </w:r>
            <w:r w:rsidR="00E91EA8" w:rsidRPr="00EA7BBC">
              <w:rPr>
                <w:b/>
              </w:rPr>
              <w:t>.</w:t>
            </w:r>
          </w:p>
        </w:tc>
        <w:tc>
          <w:tcPr>
            <w:tcW w:w="2592" w:type="dxa"/>
            <w:tcBorders>
              <w:bottom w:val="single" w:sz="8" w:space="0" w:color="000000"/>
            </w:tcBorders>
          </w:tcPr>
          <w:p w:rsidR="00EA7BBC" w:rsidRDefault="00E41A8F" w:rsidP="005F3C65">
            <w:pPr>
              <w:rPr>
                <w:b/>
              </w:rPr>
            </w:pPr>
            <w:r>
              <w:rPr>
                <w:b/>
              </w:rPr>
              <w:t xml:space="preserve">Administrative Fee </w:t>
            </w:r>
          </w:p>
          <w:p w:rsidR="00E91EA8" w:rsidRPr="00CF1E6E" w:rsidRDefault="00E41A8F" w:rsidP="005F3C65">
            <w:pPr>
              <w:rPr>
                <w:b/>
              </w:rPr>
            </w:pPr>
            <w:proofErr w:type="gramStart"/>
            <w:r>
              <w:rPr>
                <w:b/>
              </w:rPr>
              <w:t>for</w:t>
            </w:r>
            <w:proofErr w:type="gramEnd"/>
            <w:r>
              <w:rPr>
                <w:b/>
              </w:rPr>
              <w:t xml:space="preserve"> EBC (7</w:t>
            </w:r>
            <w:r w:rsidR="003D55BC">
              <w:rPr>
                <w:b/>
              </w:rPr>
              <w:t>%</w:t>
            </w:r>
            <w:r w:rsidR="005F3C65">
              <w:rPr>
                <w:b/>
              </w:rPr>
              <w:t>)</w:t>
            </w:r>
          </w:p>
        </w:tc>
        <w:tc>
          <w:tcPr>
            <w:tcW w:w="2736" w:type="dxa"/>
            <w:tcBorders>
              <w:bottom w:val="single" w:sz="8" w:space="0" w:color="000000"/>
            </w:tcBorders>
          </w:tcPr>
          <w:p w:rsidR="00E91EA8" w:rsidRPr="00DE20EE" w:rsidRDefault="00E91EA8" w:rsidP="00DE20EE"/>
        </w:tc>
        <w:tc>
          <w:tcPr>
            <w:tcW w:w="2880" w:type="dxa"/>
            <w:tcBorders>
              <w:bottom w:val="single" w:sz="8" w:space="0" w:color="000000"/>
            </w:tcBorders>
          </w:tcPr>
          <w:p w:rsidR="00E91EA8" w:rsidRPr="00DE20EE" w:rsidRDefault="00E91EA8" w:rsidP="00DE20EE"/>
        </w:tc>
        <w:tc>
          <w:tcPr>
            <w:tcW w:w="1872" w:type="dxa"/>
            <w:tcBorders>
              <w:bottom w:val="single" w:sz="8" w:space="0" w:color="000000"/>
            </w:tcBorders>
          </w:tcPr>
          <w:p w:rsidR="00E91EA8" w:rsidRPr="00DE20EE" w:rsidRDefault="00E91EA8" w:rsidP="00DE20EE"/>
        </w:tc>
        <w:tc>
          <w:tcPr>
            <w:tcW w:w="1296" w:type="dxa"/>
            <w:tcBorders>
              <w:bottom w:val="single" w:sz="8" w:space="0" w:color="000000"/>
            </w:tcBorders>
          </w:tcPr>
          <w:p w:rsidR="00E91EA8" w:rsidRDefault="005F3C65" w:rsidP="00EA7BBC">
            <w:pPr>
              <w:ind w:right="144"/>
              <w:jc w:val="right"/>
              <w:rPr>
                <w:b/>
              </w:rPr>
            </w:pPr>
            <w:r>
              <w:rPr>
                <w:b/>
              </w:rPr>
              <w:t>9</w:t>
            </w:r>
            <w:r w:rsidR="00F361B6">
              <w:rPr>
                <w:b/>
              </w:rPr>
              <w:t>,</w:t>
            </w:r>
            <w:r>
              <w:rPr>
                <w:b/>
              </w:rPr>
              <w:t>99</w:t>
            </w:r>
            <w:r w:rsidR="003D55BC">
              <w:rPr>
                <w:b/>
              </w:rPr>
              <w:t>0</w:t>
            </w:r>
          </w:p>
        </w:tc>
        <w:tc>
          <w:tcPr>
            <w:tcW w:w="2016" w:type="dxa"/>
          </w:tcPr>
          <w:p w:rsidR="00E91EA8" w:rsidRPr="00DE20EE" w:rsidRDefault="00E91EA8" w:rsidP="00DE20EE"/>
        </w:tc>
      </w:tr>
      <w:tr w:rsidR="006D6D39" w:rsidRPr="00CF1E6E" w:rsidTr="004613DF">
        <w:tc>
          <w:tcPr>
            <w:tcW w:w="10800" w:type="dxa"/>
            <w:gridSpan w:val="5"/>
            <w:tcBorders>
              <w:top w:val="single" w:sz="8" w:space="0" w:color="000000"/>
              <w:bottom w:val="single" w:sz="12" w:space="0" w:color="000000"/>
            </w:tcBorders>
            <w:shd w:val="pct12" w:color="auto" w:fill="auto"/>
          </w:tcPr>
          <w:p w:rsidR="006D6D39" w:rsidRPr="00F361B6" w:rsidRDefault="006D6D39" w:rsidP="00DE20EE">
            <w:pPr>
              <w:rPr>
                <w:b/>
              </w:rPr>
            </w:pPr>
            <w:r w:rsidRPr="00F361B6">
              <w:rPr>
                <w:b/>
              </w:rPr>
              <w:t>Expected Expenses for Impleme</w:t>
            </w:r>
            <w:r w:rsidR="00E41A8F" w:rsidRPr="00F361B6">
              <w:rPr>
                <w:b/>
              </w:rPr>
              <w:t xml:space="preserve">ntation of Action Plan Phase </w:t>
            </w:r>
            <w:r w:rsidR="002C7F55" w:rsidRPr="00F361B6">
              <w:rPr>
                <w:b/>
              </w:rPr>
              <w:t>V</w:t>
            </w:r>
            <w:r w:rsidR="00E927F8">
              <w:rPr>
                <w:b/>
              </w:rPr>
              <w:t>I</w:t>
            </w:r>
            <w:r w:rsidR="006446BF">
              <w:rPr>
                <w:b/>
              </w:rPr>
              <w:t>I</w:t>
            </w:r>
          </w:p>
        </w:tc>
        <w:tc>
          <w:tcPr>
            <w:tcW w:w="1296" w:type="dxa"/>
            <w:tcBorders>
              <w:top w:val="single" w:sz="8" w:space="0" w:color="000000"/>
              <w:bottom w:val="single" w:sz="12" w:space="0" w:color="000000"/>
            </w:tcBorders>
            <w:shd w:val="pct12" w:color="auto" w:fill="auto"/>
          </w:tcPr>
          <w:p w:rsidR="006D6D39" w:rsidRPr="00CF1E6E" w:rsidRDefault="005F3C65" w:rsidP="00EA7BBC">
            <w:pPr>
              <w:ind w:right="144"/>
              <w:jc w:val="right"/>
              <w:rPr>
                <w:b/>
              </w:rPr>
            </w:pPr>
            <w:r>
              <w:rPr>
                <w:b/>
              </w:rPr>
              <w:t>165,400</w:t>
            </w:r>
          </w:p>
        </w:tc>
        <w:tc>
          <w:tcPr>
            <w:tcW w:w="2016" w:type="dxa"/>
          </w:tcPr>
          <w:p w:rsidR="006D6D39" w:rsidRPr="00DE20EE" w:rsidRDefault="00F361B6" w:rsidP="00DE20EE">
            <w:r>
              <w:t>To be secured by extra budgetary contribution by SATRC Members</w:t>
            </w:r>
          </w:p>
        </w:tc>
      </w:tr>
    </w:tbl>
    <w:p w:rsidR="006F1B6B" w:rsidRDefault="006F1B6B" w:rsidP="00FD592E">
      <w:pPr>
        <w:sectPr w:rsidR="006F1B6B" w:rsidSect="004613DF">
          <w:pgSz w:w="16834" w:h="11909" w:orient="landscape" w:code="9"/>
          <w:pgMar w:top="1152" w:right="1296" w:bottom="1296" w:left="1440" w:header="720" w:footer="720" w:gutter="0"/>
          <w:cols w:space="720"/>
          <w:titlePg/>
          <w:docGrid w:linePitch="360"/>
        </w:sectPr>
      </w:pPr>
    </w:p>
    <w:p w:rsidR="00C843CC" w:rsidRDefault="00F361B6" w:rsidP="002B4E08">
      <w:pPr>
        <w:pStyle w:val="ListParagraph"/>
        <w:numPr>
          <w:ilvl w:val="0"/>
          <w:numId w:val="22"/>
        </w:numPr>
        <w:tabs>
          <w:tab w:val="left" w:pos="540"/>
        </w:tabs>
        <w:ind w:left="540" w:hanging="540"/>
        <w:rPr>
          <w:b/>
        </w:rPr>
      </w:pPr>
      <w:r>
        <w:rPr>
          <w:b/>
        </w:rPr>
        <w:lastRenderedPageBreak/>
        <w:t>Estimated Income</w:t>
      </w:r>
      <w:r w:rsidR="00C26E99" w:rsidRPr="00B92CCA">
        <w:rPr>
          <w:b/>
        </w:rPr>
        <w:t xml:space="preserve"> </w:t>
      </w:r>
      <w:r w:rsidR="00B92CCA" w:rsidRPr="00B92CCA">
        <w:rPr>
          <w:b/>
        </w:rPr>
        <w:t>for Impleme</w:t>
      </w:r>
      <w:r w:rsidR="008B0C8E">
        <w:rPr>
          <w:b/>
        </w:rPr>
        <w:t xml:space="preserve">ntation of Action Plan Phase </w:t>
      </w:r>
      <w:r w:rsidR="00827A86">
        <w:rPr>
          <w:b/>
        </w:rPr>
        <w:t>V</w:t>
      </w:r>
      <w:r w:rsidR="00E927F8">
        <w:rPr>
          <w:b/>
        </w:rPr>
        <w:t>I</w:t>
      </w:r>
      <w:r w:rsidR="009765B7">
        <w:rPr>
          <w:b/>
        </w:rPr>
        <w:t>I</w:t>
      </w:r>
    </w:p>
    <w:p w:rsidR="00B92CCA" w:rsidRDefault="00B92CCA" w:rsidP="00FD592E">
      <w:pPr>
        <w:rPr>
          <w:b/>
        </w:rPr>
      </w:pPr>
    </w:p>
    <w:p w:rsidR="00320614" w:rsidRDefault="004C4B0E" w:rsidP="009765B7">
      <w:pPr>
        <w:tabs>
          <w:tab w:val="left" w:pos="1830"/>
        </w:tabs>
        <w:jc w:val="both"/>
      </w:pPr>
      <w:r>
        <w:t>Expected income for the implementation of SATRC Action Plan Phase V</w:t>
      </w:r>
      <w:r w:rsidR="009765B7">
        <w:t>I</w:t>
      </w:r>
      <w:r w:rsidR="00E927F8">
        <w:t>I</w:t>
      </w:r>
      <w:r>
        <w:t xml:space="preserve"> will be mainly the Extra Budgetary Contribution (EBC) from SATRC Members</w:t>
      </w:r>
      <w:r w:rsidR="001663E8">
        <w:t xml:space="preserve"> or any voluntary extra budgetary contributions by other APT members</w:t>
      </w:r>
      <w:r>
        <w:t xml:space="preserve">. </w:t>
      </w:r>
      <w:r w:rsidR="00DB41A7">
        <w:t>T</w:t>
      </w:r>
      <w:r>
        <w:t xml:space="preserve">he SATRC Members </w:t>
      </w:r>
      <w:r w:rsidR="00DB41A7">
        <w:t xml:space="preserve">shall at least </w:t>
      </w:r>
      <w:r>
        <w:t xml:space="preserve">maintain the same level of contribution that they </w:t>
      </w:r>
      <w:r w:rsidR="00E927F8">
        <w:t xml:space="preserve">provided for Action Plan Phase </w:t>
      </w:r>
      <w:r>
        <w:t>V</w:t>
      </w:r>
      <w:r w:rsidR="009765B7">
        <w:t>I</w:t>
      </w:r>
      <w:r w:rsidR="00DB41A7">
        <w:t xml:space="preserve"> subject to the approval of the concerned authority. </w:t>
      </w:r>
    </w:p>
    <w:p w:rsidR="00320614" w:rsidRDefault="00320614" w:rsidP="004C4B0E">
      <w:pPr>
        <w:tabs>
          <w:tab w:val="left" w:pos="1830"/>
        </w:tabs>
      </w:pPr>
    </w:p>
    <w:p w:rsidR="004C4B0E" w:rsidRDefault="00DB41A7" w:rsidP="004C4B0E">
      <w:pPr>
        <w:tabs>
          <w:tab w:val="left" w:pos="1830"/>
        </w:tabs>
      </w:pPr>
      <w:r>
        <w:t>T</w:t>
      </w:r>
      <w:r w:rsidR="004C4B0E">
        <w:t>he estimated income</w:t>
      </w:r>
      <w:r w:rsidR="00320614">
        <w:t>,</w:t>
      </w:r>
      <w:r w:rsidR="004C4B0E">
        <w:t xml:space="preserve"> </w:t>
      </w:r>
      <w:r w:rsidR="009765B7">
        <w:t>as pledged at the SATRC-19</w:t>
      </w:r>
      <w:r w:rsidR="00320614">
        <w:t xml:space="preserve">, </w:t>
      </w:r>
      <w:r w:rsidR="004C4B0E">
        <w:t>for Action Plan Phase V</w:t>
      </w:r>
      <w:r w:rsidR="00E927F8">
        <w:t>I</w:t>
      </w:r>
      <w:r w:rsidR="009765B7">
        <w:t>I</w:t>
      </w:r>
      <w:r w:rsidR="004C4B0E">
        <w:t xml:space="preserve"> is shown in the table below.</w:t>
      </w:r>
    </w:p>
    <w:p w:rsidR="004C4B0E" w:rsidRDefault="004C4B0E" w:rsidP="004C4B0E">
      <w:pPr>
        <w:ind w:left="630" w:hanging="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64"/>
        <w:gridCol w:w="1584"/>
        <w:gridCol w:w="4032"/>
        <w:gridCol w:w="2736"/>
      </w:tblGrid>
      <w:tr w:rsidR="0040244B" w:rsidRPr="00B92CCA" w:rsidTr="002B4E08">
        <w:tc>
          <w:tcPr>
            <w:tcW w:w="864" w:type="dxa"/>
            <w:shd w:val="clear" w:color="auto" w:fill="D9D9D9"/>
            <w:vAlign w:val="center"/>
          </w:tcPr>
          <w:p w:rsidR="0040244B" w:rsidRPr="00B92CCA" w:rsidRDefault="0040244B" w:rsidP="00D418D8">
            <w:pPr>
              <w:jc w:val="center"/>
              <w:rPr>
                <w:b/>
              </w:rPr>
            </w:pPr>
            <w:r w:rsidRPr="00B92CCA">
              <w:rPr>
                <w:b/>
              </w:rPr>
              <w:t>No.</w:t>
            </w:r>
          </w:p>
        </w:tc>
        <w:tc>
          <w:tcPr>
            <w:tcW w:w="1584" w:type="dxa"/>
            <w:shd w:val="clear" w:color="auto" w:fill="D9D9D9"/>
            <w:vAlign w:val="center"/>
          </w:tcPr>
          <w:p w:rsidR="0040244B" w:rsidRPr="00B92CCA" w:rsidRDefault="0040244B" w:rsidP="00D418D8">
            <w:pPr>
              <w:jc w:val="center"/>
              <w:rPr>
                <w:b/>
              </w:rPr>
            </w:pPr>
            <w:r>
              <w:rPr>
                <w:b/>
              </w:rPr>
              <w:t>Country</w:t>
            </w:r>
          </w:p>
        </w:tc>
        <w:tc>
          <w:tcPr>
            <w:tcW w:w="4032" w:type="dxa"/>
            <w:shd w:val="clear" w:color="auto" w:fill="D9D9D9"/>
            <w:vAlign w:val="center"/>
          </w:tcPr>
          <w:p w:rsidR="0040244B" w:rsidRPr="00B92CCA" w:rsidRDefault="0040244B" w:rsidP="00D418D8">
            <w:pPr>
              <w:jc w:val="center"/>
              <w:rPr>
                <w:b/>
              </w:rPr>
            </w:pPr>
            <w:r>
              <w:rPr>
                <w:b/>
              </w:rPr>
              <w:t>SATRC Members</w:t>
            </w:r>
          </w:p>
        </w:tc>
        <w:tc>
          <w:tcPr>
            <w:tcW w:w="2736" w:type="dxa"/>
            <w:shd w:val="clear" w:color="auto" w:fill="D9D9D9"/>
          </w:tcPr>
          <w:p w:rsidR="0040244B" w:rsidRDefault="0040244B" w:rsidP="00D418D8">
            <w:pPr>
              <w:jc w:val="center"/>
              <w:rPr>
                <w:b/>
              </w:rPr>
            </w:pPr>
            <w:r w:rsidRPr="00B92CCA">
              <w:rPr>
                <w:b/>
              </w:rPr>
              <w:t>Contribution</w:t>
            </w:r>
            <w:r>
              <w:rPr>
                <w:b/>
              </w:rPr>
              <w:t xml:space="preserve">s in </w:t>
            </w:r>
          </w:p>
          <w:p w:rsidR="0040244B" w:rsidRDefault="0040244B" w:rsidP="00D418D8">
            <w:pPr>
              <w:jc w:val="center"/>
              <w:rPr>
                <w:b/>
              </w:rPr>
            </w:pPr>
            <w:r>
              <w:rPr>
                <w:b/>
              </w:rPr>
              <w:t>Action Plan Phase VII</w:t>
            </w:r>
          </w:p>
          <w:p w:rsidR="0040244B" w:rsidRPr="00B92CCA" w:rsidRDefault="0040244B" w:rsidP="00D418D8">
            <w:pPr>
              <w:jc w:val="center"/>
              <w:rPr>
                <w:b/>
              </w:rPr>
            </w:pPr>
            <w:r>
              <w:rPr>
                <w:b/>
              </w:rPr>
              <w:t>for year 2019-2020</w:t>
            </w:r>
            <w:r w:rsidRPr="00B92CCA">
              <w:rPr>
                <w:b/>
              </w:rPr>
              <w:t xml:space="preserve"> (US</w:t>
            </w:r>
            <w:r>
              <w:rPr>
                <w:b/>
              </w:rPr>
              <w:t>D</w:t>
            </w:r>
            <w:r w:rsidRPr="00B92CCA">
              <w:rPr>
                <w:b/>
              </w:rPr>
              <w:t>)</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1</w:t>
            </w:r>
          </w:p>
        </w:tc>
        <w:tc>
          <w:tcPr>
            <w:tcW w:w="1584" w:type="dxa"/>
            <w:vAlign w:val="center"/>
          </w:tcPr>
          <w:p w:rsidR="0040244B" w:rsidRPr="00B92CCA" w:rsidRDefault="0040244B" w:rsidP="00D418D8">
            <w:pPr>
              <w:jc w:val="both"/>
              <w:rPr>
                <w:bCs/>
              </w:rPr>
            </w:pPr>
            <w:r>
              <w:rPr>
                <w:bCs/>
              </w:rPr>
              <w:t>Afghanistan</w:t>
            </w:r>
          </w:p>
        </w:tc>
        <w:tc>
          <w:tcPr>
            <w:tcW w:w="4032" w:type="dxa"/>
            <w:vAlign w:val="center"/>
          </w:tcPr>
          <w:p w:rsidR="0040244B" w:rsidRPr="00B92CCA" w:rsidRDefault="0040244B" w:rsidP="00D418D8">
            <w:pPr>
              <w:rPr>
                <w:bCs/>
              </w:rPr>
            </w:pPr>
            <w:r w:rsidRPr="00B92CCA">
              <w:rPr>
                <w:bCs/>
              </w:rPr>
              <w:t>Afghanistan Telecom</w:t>
            </w:r>
            <w:proofErr w:type="spellStart"/>
            <w:r>
              <w:rPr>
                <w:lang w:val="en-GB"/>
              </w:rPr>
              <w:t>munication</w:t>
            </w:r>
            <w:proofErr w:type="spellEnd"/>
            <w:r w:rsidRPr="00B92CCA">
              <w:rPr>
                <w:bCs/>
              </w:rPr>
              <w:t xml:space="preserve"> Regulatory Authority (ATRA)</w:t>
            </w:r>
          </w:p>
        </w:tc>
        <w:tc>
          <w:tcPr>
            <w:tcW w:w="2736" w:type="dxa"/>
            <w:vAlign w:val="center"/>
          </w:tcPr>
          <w:p w:rsidR="0040244B" w:rsidRPr="005B592E" w:rsidRDefault="0040244B" w:rsidP="00D418D8">
            <w:pPr>
              <w:ind w:right="288"/>
              <w:jc w:val="right"/>
              <w:rPr>
                <w:bCs/>
              </w:rPr>
            </w:pPr>
            <w:r>
              <w:rPr>
                <w:bCs/>
              </w:rPr>
              <w:t>6,000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2</w:t>
            </w:r>
          </w:p>
        </w:tc>
        <w:tc>
          <w:tcPr>
            <w:tcW w:w="1584" w:type="dxa"/>
            <w:vAlign w:val="center"/>
          </w:tcPr>
          <w:p w:rsidR="0040244B" w:rsidRPr="00B92CCA" w:rsidRDefault="0040244B" w:rsidP="00D418D8">
            <w:pPr>
              <w:jc w:val="both"/>
              <w:rPr>
                <w:bCs/>
              </w:rPr>
            </w:pPr>
            <w:r w:rsidRPr="00B92CCA">
              <w:rPr>
                <w:bCs/>
              </w:rPr>
              <w:t>Bangladesh</w:t>
            </w:r>
          </w:p>
        </w:tc>
        <w:tc>
          <w:tcPr>
            <w:tcW w:w="4032" w:type="dxa"/>
            <w:vAlign w:val="center"/>
          </w:tcPr>
          <w:p w:rsidR="0040244B" w:rsidRPr="00B92CCA" w:rsidRDefault="0040244B" w:rsidP="00D418D8">
            <w:pPr>
              <w:rPr>
                <w:bCs/>
              </w:rPr>
            </w:pPr>
            <w:r w:rsidRPr="00B92CCA">
              <w:rPr>
                <w:bCs/>
              </w:rPr>
              <w:t>Bangladesh Telecom</w:t>
            </w:r>
            <w:proofErr w:type="spellStart"/>
            <w:r>
              <w:rPr>
                <w:lang w:val="en-GB"/>
              </w:rPr>
              <w:t>munication</w:t>
            </w:r>
            <w:proofErr w:type="spellEnd"/>
            <w:r w:rsidRPr="00B92CCA">
              <w:rPr>
                <w:bCs/>
              </w:rPr>
              <w:t xml:space="preserve"> Regulatory Commission (BTRC)</w:t>
            </w:r>
          </w:p>
        </w:tc>
        <w:tc>
          <w:tcPr>
            <w:tcW w:w="2736" w:type="dxa"/>
            <w:vAlign w:val="center"/>
          </w:tcPr>
          <w:p w:rsidR="0040244B" w:rsidRPr="005B592E" w:rsidRDefault="0040244B" w:rsidP="00D418D8">
            <w:pPr>
              <w:ind w:right="288"/>
              <w:jc w:val="right"/>
              <w:rPr>
                <w:bCs/>
              </w:rPr>
            </w:pPr>
            <w:r>
              <w:rPr>
                <w:bCs/>
              </w:rPr>
              <w:t>10,000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3</w:t>
            </w:r>
          </w:p>
        </w:tc>
        <w:tc>
          <w:tcPr>
            <w:tcW w:w="1584" w:type="dxa"/>
            <w:vAlign w:val="center"/>
          </w:tcPr>
          <w:p w:rsidR="0040244B" w:rsidRPr="00B92CCA" w:rsidRDefault="0040244B" w:rsidP="00D418D8">
            <w:pPr>
              <w:jc w:val="both"/>
              <w:rPr>
                <w:bCs/>
              </w:rPr>
            </w:pPr>
            <w:r w:rsidRPr="00B92CCA">
              <w:rPr>
                <w:bCs/>
              </w:rPr>
              <w:t xml:space="preserve">Bhutan </w:t>
            </w:r>
          </w:p>
        </w:tc>
        <w:tc>
          <w:tcPr>
            <w:tcW w:w="4032" w:type="dxa"/>
            <w:vAlign w:val="center"/>
          </w:tcPr>
          <w:p w:rsidR="0040244B" w:rsidRPr="00B92CCA" w:rsidRDefault="0040244B" w:rsidP="00D418D8">
            <w:pPr>
              <w:rPr>
                <w:bCs/>
              </w:rPr>
            </w:pPr>
            <w:r w:rsidRPr="00B92CCA">
              <w:rPr>
                <w:bCs/>
              </w:rPr>
              <w:t xml:space="preserve">Bhutan </w:t>
            </w:r>
            <w:proofErr w:type="spellStart"/>
            <w:r w:rsidRPr="00B92CCA">
              <w:rPr>
                <w:bCs/>
              </w:rPr>
              <w:t>Info</w:t>
            </w:r>
            <w:r>
              <w:rPr>
                <w:bCs/>
              </w:rPr>
              <w:t>c</w:t>
            </w:r>
            <w:r w:rsidRPr="00B92CCA">
              <w:rPr>
                <w:bCs/>
              </w:rPr>
              <w:t>omm</w:t>
            </w:r>
            <w:proofErr w:type="spellEnd"/>
            <w:r w:rsidRPr="00B92CCA">
              <w:rPr>
                <w:bCs/>
              </w:rPr>
              <w:t xml:space="preserve"> </w:t>
            </w:r>
            <w:r>
              <w:rPr>
                <w:bCs/>
              </w:rPr>
              <w:t>and</w:t>
            </w:r>
            <w:r w:rsidRPr="00B92CCA">
              <w:rPr>
                <w:bCs/>
              </w:rPr>
              <w:t xml:space="preserve"> Media Authority (BICMA)</w:t>
            </w:r>
          </w:p>
        </w:tc>
        <w:tc>
          <w:tcPr>
            <w:tcW w:w="2736" w:type="dxa"/>
            <w:vAlign w:val="center"/>
          </w:tcPr>
          <w:p w:rsidR="0040244B" w:rsidRPr="005B592E" w:rsidRDefault="0040244B" w:rsidP="00D418D8">
            <w:pPr>
              <w:ind w:right="288"/>
              <w:jc w:val="right"/>
              <w:rPr>
                <w:bCs/>
              </w:rPr>
            </w:pPr>
            <w:r>
              <w:rPr>
                <w:bCs/>
              </w:rPr>
              <w:t>5,000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4</w:t>
            </w:r>
          </w:p>
        </w:tc>
        <w:tc>
          <w:tcPr>
            <w:tcW w:w="1584" w:type="dxa"/>
            <w:vAlign w:val="center"/>
          </w:tcPr>
          <w:p w:rsidR="0040244B" w:rsidRPr="00B92CCA" w:rsidRDefault="0040244B" w:rsidP="00D418D8">
            <w:pPr>
              <w:jc w:val="both"/>
              <w:rPr>
                <w:bCs/>
              </w:rPr>
            </w:pPr>
            <w:r w:rsidRPr="00B92CCA">
              <w:rPr>
                <w:bCs/>
              </w:rPr>
              <w:t>India</w:t>
            </w:r>
          </w:p>
        </w:tc>
        <w:tc>
          <w:tcPr>
            <w:tcW w:w="4032" w:type="dxa"/>
            <w:vAlign w:val="center"/>
          </w:tcPr>
          <w:p w:rsidR="0040244B" w:rsidRPr="00B92CCA" w:rsidRDefault="0040244B" w:rsidP="00D418D8">
            <w:pPr>
              <w:rPr>
                <w:bCs/>
              </w:rPr>
            </w:pPr>
            <w:r w:rsidRPr="00B92CCA">
              <w:rPr>
                <w:bCs/>
              </w:rPr>
              <w:t>Telecom Regulatory Authority of India (TRAI)</w:t>
            </w:r>
          </w:p>
        </w:tc>
        <w:tc>
          <w:tcPr>
            <w:tcW w:w="2736" w:type="dxa"/>
            <w:vAlign w:val="center"/>
          </w:tcPr>
          <w:p w:rsidR="0040244B" w:rsidRPr="005B592E" w:rsidRDefault="0040244B" w:rsidP="00D418D8">
            <w:pPr>
              <w:ind w:right="288"/>
              <w:jc w:val="right"/>
              <w:rPr>
                <w:bCs/>
              </w:rPr>
            </w:pPr>
            <w:r>
              <w:rPr>
                <w:bCs/>
              </w:rPr>
              <w:t>40,000</w:t>
            </w:r>
          </w:p>
        </w:tc>
      </w:tr>
      <w:tr w:rsidR="0040244B" w:rsidRPr="00B92CCA" w:rsidTr="002B4E08">
        <w:trPr>
          <w:trHeight w:val="272"/>
        </w:trPr>
        <w:tc>
          <w:tcPr>
            <w:tcW w:w="864" w:type="dxa"/>
            <w:vAlign w:val="center"/>
          </w:tcPr>
          <w:p w:rsidR="0040244B" w:rsidRPr="00B92CCA" w:rsidRDefault="0040244B" w:rsidP="00D418D8">
            <w:pPr>
              <w:jc w:val="center"/>
              <w:rPr>
                <w:bCs/>
              </w:rPr>
            </w:pPr>
            <w:r w:rsidRPr="00B92CCA">
              <w:rPr>
                <w:bCs/>
              </w:rPr>
              <w:t>5</w:t>
            </w:r>
          </w:p>
        </w:tc>
        <w:tc>
          <w:tcPr>
            <w:tcW w:w="1584" w:type="dxa"/>
            <w:vAlign w:val="center"/>
          </w:tcPr>
          <w:p w:rsidR="0040244B" w:rsidRPr="00B92CCA" w:rsidRDefault="004613DF" w:rsidP="004613DF">
            <w:pPr>
              <w:rPr>
                <w:bCs/>
              </w:rPr>
            </w:pPr>
            <w:r>
              <w:rPr>
                <w:bCs/>
              </w:rPr>
              <w:t>Islamic Republic of</w:t>
            </w:r>
            <w:r w:rsidRPr="00B92CCA">
              <w:rPr>
                <w:bCs/>
              </w:rPr>
              <w:t xml:space="preserve"> </w:t>
            </w:r>
            <w:r w:rsidR="0040244B" w:rsidRPr="00B92CCA">
              <w:rPr>
                <w:bCs/>
              </w:rPr>
              <w:t>Iran</w:t>
            </w:r>
          </w:p>
        </w:tc>
        <w:tc>
          <w:tcPr>
            <w:tcW w:w="4032" w:type="dxa"/>
            <w:vAlign w:val="center"/>
          </w:tcPr>
          <w:p w:rsidR="0040244B" w:rsidRPr="00B92CCA" w:rsidRDefault="0040244B" w:rsidP="00D418D8">
            <w:pPr>
              <w:rPr>
                <w:bCs/>
              </w:rPr>
            </w:pPr>
            <w:r w:rsidRPr="00B92CCA">
              <w:rPr>
                <w:bCs/>
              </w:rPr>
              <w:t>Communications Regulatory Authority (CRA)</w:t>
            </w:r>
            <w:r>
              <w:rPr>
                <w:bCs/>
              </w:rPr>
              <w:t>, Islamic Republic of Iran</w:t>
            </w:r>
          </w:p>
        </w:tc>
        <w:tc>
          <w:tcPr>
            <w:tcW w:w="2736" w:type="dxa"/>
            <w:vAlign w:val="center"/>
          </w:tcPr>
          <w:p w:rsidR="0040244B" w:rsidRPr="005B592E" w:rsidRDefault="0040244B" w:rsidP="00D418D8">
            <w:pPr>
              <w:ind w:right="288"/>
              <w:jc w:val="right"/>
              <w:rPr>
                <w:bCs/>
              </w:rPr>
            </w:pPr>
            <w:r>
              <w:rPr>
                <w:bCs/>
              </w:rPr>
              <w:t>11,000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6</w:t>
            </w:r>
          </w:p>
        </w:tc>
        <w:tc>
          <w:tcPr>
            <w:tcW w:w="1584" w:type="dxa"/>
            <w:vAlign w:val="center"/>
          </w:tcPr>
          <w:p w:rsidR="0040244B" w:rsidRPr="00B92CCA" w:rsidRDefault="0040244B" w:rsidP="00D418D8">
            <w:pPr>
              <w:jc w:val="both"/>
              <w:rPr>
                <w:bCs/>
              </w:rPr>
            </w:pPr>
            <w:r w:rsidRPr="00B92CCA">
              <w:rPr>
                <w:bCs/>
              </w:rPr>
              <w:t>Maldives</w:t>
            </w:r>
          </w:p>
        </w:tc>
        <w:tc>
          <w:tcPr>
            <w:tcW w:w="4032" w:type="dxa"/>
            <w:vAlign w:val="center"/>
          </w:tcPr>
          <w:p w:rsidR="0040244B" w:rsidRPr="00B92CCA" w:rsidRDefault="0040244B" w:rsidP="00D418D8">
            <w:pPr>
              <w:rPr>
                <w:bCs/>
              </w:rPr>
            </w:pPr>
            <w:r>
              <w:rPr>
                <w:bCs/>
              </w:rPr>
              <w:t>C</w:t>
            </w:r>
            <w:r w:rsidRPr="00B92CCA">
              <w:rPr>
                <w:bCs/>
              </w:rPr>
              <w:t>ommuni</w:t>
            </w:r>
            <w:r>
              <w:rPr>
                <w:bCs/>
              </w:rPr>
              <w:t>cations Authority of Maldives (C</w:t>
            </w:r>
            <w:r w:rsidRPr="00B92CCA">
              <w:rPr>
                <w:bCs/>
              </w:rPr>
              <w:t>AM)</w:t>
            </w:r>
          </w:p>
        </w:tc>
        <w:tc>
          <w:tcPr>
            <w:tcW w:w="2736" w:type="dxa"/>
            <w:vAlign w:val="center"/>
          </w:tcPr>
          <w:p w:rsidR="0040244B" w:rsidRPr="005B592E" w:rsidRDefault="0040244B" w:rsidP="00D418D8">
            <w:pPr>
              <w:ind w:right="288"/>
              <w:jc w:val="right"/>
              <w:rPr>
                <w:bCs/>
              </w:rPr>
            </w:pPr>
            <w:r>
              <w:rPr>
                <w:bCs/>
              </w:rPr>
              <w:t>5,000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7</w:t>
            </w:r>
          </w:p>
        </w:tc>
        <w:tc>
          <w:tcPr>
            <w:tcW w:w="1584" w:type="dxa"/>
            <w:vAlign w:val="center"/>
          </w:tcPr>
          <w:p w:rsidR="0040244B" w:rsidRPr="00B92CCA" w:rsidRDefault="0040244B" w:rsidP="00D418D8">
            <w:pPr>
              <w:jc w:val="both"/>
              <w:rPr>
                <w:bCs/>
              </w:rPr>
            </w:pPr>
            <w:r w:rsidRPr="00B92CCA">
              <w:rPr>
                <w:bCs/>
              </w:rPr>
              <w:t>Nepal</w:t>
            </w:r>
          </w:p>
        </w:tc>
        <w:tc>
          <w:tcPr>
            <w:tcW w:w="4032" w:type="dxa"/>
            <w:vAlign w:val="center"/>
          </w:tcPr>
          <w:p w:rsidR="0040244B" w:rsidRPr="00B92CCA" w:rsidRDefault="0040244B" w:rsidP="00D418D8">
            <w:pPr>
              <w:rPr>
                <w:bCs/>
              </w:rPr>
            </w:pPr>
            <w:r w:rsidRPr="00B92CCA">
              <w:rPr>
                <w:bCs/>
              </w:rPr>
              <w:t>Nepal Telecom</w:t>
            </w:r>
            <w:proofErr w:type="spellStart"/>
            <w:r>
              <w:rPr>
                <w:lang w:val="en-GB"/>
              </w:rPr>
              <w:t>munications</w:t>
            </w:r>
            <w:proofErr w:type="spellEnd"/>
            <w:r w:rsidRPr="00B92CCA">
              <w:rPr>
                <w:bCs/>
              </w:rPr>
              <w:t xml:space="preserve"> Authority (NTA)</w:t>
            </w:r>
          </w:p>
        </w:tc>
        <w:tc>
          <w:tcPr>
            <w:tcW w:w="2736" w:type="dxa"/>
            <w:vAlign w:val="center"/>
          </w:tcPr>
          <w:p w:rsidR="0040244B" w:rsidRPr="005B592E" w:rsidRDefault="0040244B" w:rsidP="00D418D8">
            <w:pPr>
              <w:ind w:right="288"/>
              <w:jc w:val="right"/>
              <w:rPr>
                <w:bCs/>
              </w:rPr>
            </w:pPr>
            <w:r>
              <w:rPr>
                <w:bCs/>
              </w:rPr>
              <w:t>10,000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8</w:t>
            </w:r>
          </w:p>
        </w:tc>
        <w:tc>
          <w:tcPr>
            <w:tcW w:w="1584" w:type="dxa"/>
            <w:vAlign w:val="center"/>
          </w:tcPr>
          <w:p w:rsidR="0040244B" w:rsidRPr="00B92CCA" w:rsidRDefault="0040244B" w:rsidP="00D418D8">
            <w:pPr>
              <w:jc w:val="both"/>
              <w:rPr>
                <w:bCs/>
              </w:rPr>
            </w:pPr>
            <w:r w:rsidRPr="00B92CCA">
              <w:rPr>
                <w:bCs/>
              </w:rPr>
              <w:t>Pakistan</w:t>
            </w:r>
          </w:p>
        </w:tc>
        <w:tc>
          <w:tcPr>
            <w:tcW w:w="4032" w:type="dxa"/>
            <w:vAlign w:val="center"/>
          </w:tcPr>
          <w:p w:rsidR="0040244B" w:rsidRPr="00B92CCA" w:rsidRDefault="0040244B" w:rsidP="00D418D8">
            <w:pPr>
              <w:rPr>
                <w:bCs/>
              </w:rPr>
            </w:pPr>
            <w:r w:rsidRPr="00B92CCA">
              <w:rPr>
                <w:bCs/>
              </w:rPr>
              <w:t>Pakistan Telecom</w:t>
            </w:r>
            <w:proofErr w:type="spellStart"/>
            <w:r>
              <w:rPr>
                <w:lang w:val="en-GB"/>
              </w:rPr>
              <w:t>munication</w:t>
            </w:r>
            <w:proofErr w:type="spellEnd"/>
            <w:r w:rsidRPr="00B92CCA">
              <w:rPr>
                <w:bCs/>
              </w:rPr>
              <w:t xml:space="preserve"> Authority (PTA)</w:t>
            </w:r>
          </w:p>
        </w:tc>
        <w:tc>
          <w:tcPr>
            <w:tcW w:w="2736" w:type="dxa"/>
            <w:vAlign w:val="center"/>
          </w:tcPr>
          <w:p w:rsidR="0040244B" w:rsidRPr="005B592E" w:rsidRDefault="0040244B" w:rsidP="00D418D8">
            <w:pPr>
              <w:ind w:right="288"/>
              <w:jc w:val="right"/>
              <w:rPr>
                <w:bCs/>
              </w:rPr>
            </w:pPr>
            <w:r>
              <w:rPr>
                <w:bCs/>
              </w:rPr>
              <w:t>15,000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9</w:t>
            </w:r>
          </w:p>
        </w:tc>
        <w:tc>
          <w:tcPr>
            <w:tcW w:w="1584" w:type="dxa"/>
            <w:vAlign w:val="center"/>
          </w:tcPr>
          <w:p w:rsidR="0040244B" w:rsidRPr="00B92CCA" w:rsidRDefault="0040244B" w:rsidP="00D418D8">
            <w:pPr>
              <w:jc w:val="both"/>
              <w:rPr>
                <w:bCs/>
              </w:rPr>
            </w:pPr>
            <w:r w:rsidRPr="00B92CCA">
              <w:rPr>
                <w:bCs/>
              </w:rPr>
              <w:t>Sri Lanka</w:t>
            </w:r>
          </w:p>
        </w:tc>
        <w:tc>
          <w:tcPr>
            <w:tcW w:w="4032" w:type="dxa"/>
            <w:vAlign w:val="center"/>
          </w:tcPr>
          <w:p w:rsidR="0040244B" w:rsidRPr="00B92CCA" w:rsidRDefault="0040244B" w:rsidP="00D418D8">
            <w:pPr>
              <w:rPr>
                <w:bCs/>
              </w:rPr>
            </w:pPr>
            <w:r w:rsidRPr="00B92CCA">
              <w:rPr>
                <w:bCs/>
              </w:rPr>
              <w:t>Telecommunication</w:t>
            </w:r>
            <w:r>
              <w:rPr>
                <w:bCs/>
              </w:rPr>
              <w:t>s</w:t>
            </w:r>
            <w:r w:rsidRPr="00B92CCA">
              <w:rPr>
                <w:bCs/>
              </w:rPr>
              <w:t xml:space="preserve"> Regulatory Commission (TRC)</w:t>
            </w:r>
            <w:r>
              <w:rPr>
                <w:bCs/>
              </w:rPr>
              <w:t>, Sri Lanka</w:t>
            </w:r>
          </w:p>
        </w:tc>
        <w:tc>
          <w:tcPr>
            <w:tcW w:w="2736" w:type="dxa"/>
            <w:vAlign w:val="center"/>
          </w:tcPr>
          <w:p w:rsidR="0040244B" w:rsidRPr="005B592E" w:rsidRDefault="0040244B" w:rsidP="00D418D8">
            <w:pPr>
              <w:ind w:right="288"/>
              <w:jc w:val="right"/>
              <w:rPr>
                <w:bCs/>
              </w:rPr>
            </w:pPr>
            <w:r>
              <w:rPr>
                <w:bCs/>
              </w:rPr>
              <w:t>15,000</w:t>
            </w:r>
          </w:p>
        </w:tc>
      </w:tr>
      <w:tr w:rsidR="0040244B" w:rsidRPr="00B92CCA"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rsidR="0040244B" w:rsidRPr="00B92CCA" w:rsidRDefault="0040244B" w:rsidP="00D418D8">
            <w:pPr>
              <w:jc w:val="center"/>
            </w:pPr>
            <w:r>
              <w:t>Total Pledged EBC for SATRC Action Plan Phase VII</w:t>
            </w:r>
          </w:p>
        </w:tc>
        <w:tc>
          <w:tcPr>
            <w:tcW w:w="2736" w:type="dxa"/>
            <w:tcBorders>
              <w:top w:val="single" w:sz="18" w:space="0" w:color="auto"/>
              <w:left w:val="single" w:sz="18" w:space="0" w:color="auto"/>
              <w:bottom w:val="single" w:sz="18" w:space="0" w:color="auto"/>
              <w:right w:val="single" w:sz="18" w:space="0" w:color="auto"/>
            </w:tcBorders>
            <w:vAlign w:val="center"/>
          </w:tcPr>
          <w:p w:rsidR="0040244B" w:rsidRPr="00B92CCA" w:rsidRDefault="0040244B" w:rsidP="00D418D8">
            <w:pPr>
              <w:ind w:right="288"/>
              <w:jc w:val="right"/>
            </w:pPr>
            <w:r>
              <w:t>117,000</w:t>
            </w:r>
          </w:p>
        </w:tc>
      </w:tr>
      <w:tr w:rsidR="0040244B" w:rsidRPr="00B92CCA"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rsidR="0040244B" w:rsidRDefault="0040244B" w:rsidP="00D418D8">
            <w:pPr>
              <w:jc w:val="center"/>
            </w:pPr>
            <w:r>
              <w:t>Amount Carried Forward from Action Plan Phase VI</w:t>
            </w:r>
          </w:p>
        </w:tc>
        <w:tc>
          <w:tcPr>
            <w:tcW w:w="2736" w:type="dxa"/>
            <w:tcBorders>
              <w:top w:val="single" w:sz="18" w:space="0" w:color="auto"/>
              <w:left w:val="single" w:sz="18" w:space="0" w:color="auto"/>
              <w:bottom w:val="single" w:sz="18" w:space="0" w:color="auto"/>
              <w:right w:val="single" w:sz="18" w:space="0" w:color="auto"/>
            </w:tcBorders>
            <w:vAlign w:val="center"/>
          </w:tcPr>
          <w:p w:rsidR="0040244B" w:rsidRPr="00EB296D" w:rsidRDefault="0040244B" w:rsidP="00D418D8">
            <w:pPr>
              <w:ind w:right="288"/>
              <w:jc w:val="right"/>
              <w:rPr>
                <w:highlight w:val="yellow"/>
              </w:rPr>
            </w:pPr>
            <w:r w:rsidRPr="00C949A2">
              <w:t>66</w:t>
            </w:r>
            <w:r>
              <w:t>,385</w:t>
            </w:r>
          </w:p>
        </w:tc>
      </w:tr>
      <w:tr w:rsidR="0040244B" w:rsidRPr="00B92CCA"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rsidR="0040244B" w:rsidRDefault="0040244B" w:rsidP="00D418D8">
            <w:pPr>
              <w:jc w:val="center"/>
            </w:pPr>
            <w:r>
              <w:t>Arrears of contributions receivable</w:t>
            </w:r>
          </w:p>
        </w:tc>
        <w:tc>
          <w:tcPr>
            <w:tcW w:w="2736" w:type="dxa"/>
            <w:tcBorders>
              <w:top w:val="single" w:sz="18" w:space="0" w:color="auto"/>
              <w:left w:val="single" w:sz="18" w:space="0" w:color="auto"/>
              <w:bottom w:val="single" w:sz="18" w:space="0" w:color="auto"/>
              <w:right w:val="single" w:sz="18" w:space="0" w:color="auto"/>
            </w:tcBorders>
            <w:vAlign w:val="center"/>
          </w:tcPr>
          <w:p w:rsidR="0040244B" w:rsidRPr="00EB296D" w:rsidRDefault="0040244B" w:rsidP="00D418D8">
            <w:pPr>
              <w:ind w:right="288"/>
              <w:jc w:val="right"/>
              <w:rPr>
                <w:highlight w:val="yellow"/>
              </w:rPr>
            </w:pPr>
            <w:r>
              <w:t>9</w:t>
            </w:r>
            <w:r w:rsidRPr="002353A2">
              <w:t>,549</w:t>
            </w:r>
          </w:p>
        </w:tc>
      </w:tr>
      <w:tr w:rsidR="0040244B" w:rsidRPr="00B92CCA"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shd w:val="pct12" w:color="auto" w:fill="auto"/>
            <w:vAlign w:val="center"/>
          </w:tcPr>
          <w:p w:rsidR="0040244B" w:rsidRPr="00C25F96" w:rsidRDefault="0040244B" w:rsidP="00D418D8">
            <w:pPr>
              <w:jc w:val="center"/>
              <w:rPr>
                <w:b/>
              </w:rPr>
            </w:pPr>
            <w:r>
              <w:rPr>
                <w:b/>
              </w:rPr>
              <w:t>Total fund availability for SATRC Action Plan Phase VII</w:t>
            </w:r>
          </w:p>
        </w:tc>
        <w:tc>
          <w:tcPr>
            <w:tcW w:w="2736" w:type="dxa"/>
            <w:tcBorders>
              <w:top w:val="single" w:sz="18" w:space="0" w:color="auto"/>
              <w:left w:val="single" w:sz="18" w:space="0" w:color="auto"/>
              <w:bottom w:val="single" w:sz="18" w:space="0" w:color="auto"/>
              <w:right w:val="single" w:sz="18" w:space="0" w:color="auto"/>
            </w:tcBorders>
            <w:shd w:val="pct12" w:color="auto" w:fill="auto"/>
            <w:vAlign w:val="center"/>
          </w:tcPr>
          <w:p w:rsidR="0040244B" w:rsidRPr="00EB296D" w:rsidRDefault="0040244B" w:rsidP="00D418D8">
            <w:pPr>
              <w:ind w:right="288"/>
              <w:jc w:val="right"/>
              <w:rPr>
                <w:b/>
                <w:highlight w:val="yellow"/>
              </w:rPr>
            </w:pPr>
            <w:r w:rsidRPr="00EB296D">
              <w:rPr>
                <w:b/>
              </w:rPr>
              <w:t>191,934</w:t>
            </w:r>
          </w:p>
        </w:tc>
      </w:tr>
    </w:tbl>
    <w:p w:rsidR="00F4528C" w:rsidRDefault="00F4528C" w:rsidP="004C4B0E">
      <w:pPr>
        <w:ind w:left="630" w:hanging="630"/>
      </w:pPr>
    </w:p>
    <w:p w:rsidR="00F4528C" w:rsidRDefault="00F4528C" w:rsidP="004C4B0E">
      <w:pPr>
        <w:ind w:left="630" w:hanging="630"/>
      </w:pPr>
    </w:p>
    <w:p w:rsidR="00B92CCA" w:rsidRPr="00B92CCA" w:rsidRDefault="004C4B0E" w:rsidP="002B4E08">
      <w:pPr>
        <w:pStyle w:val="ListParagraph"/>
        <w:numPr>
          <w:ilvl w:val="0"/>
          <w:numId w:val="22"/>
        </w:numPr>
        <w:tabs>
          <w:tab w:val="left" w:pos="540"/>
        </w:tabs>
        <w:ind w:left="540" w:hanging="540"/>
        <w:rPr>
          <w:b/>
        </w:rPr>
      </w:pPr>
      <w:r>
        <w:rPr>
          <w:b/>
        </w:rPr>
        <w:t>Tentative Calendar of the Implementation of SATRC Action Plan Phase V</w:t>
      </w:r>
      <w:r w:rsidR="00E927F8">
        <w:rPr>
          <w:b/>
        </w:rPr>
        <w:t>I</w:t>
      </w:r>
      <w:r w:rsidR="00525A8F">
        <w:rPr>
          <w:b/>
        </w:rPr>
        <w:t>I</w:t>
      </w:r>
    </w:p>
    <w:p w:rsidR="00C843CC" w:rsidRDefault="00C843CC" w:rsidP="00FD592E"/>
    <w:p w:rsidR="004C4B0E" w:rsidRDefault="004C4B0E" w:rsidP="00E46AE0">
      <w:pPr>
        <w:jc w:val="both"/>
        <w:rPr>
          <w:bCs/>
        </w:rPr>
      </w:pPr>
      <w:r w:rsidRPr="004C4B0E">
        <w:rPr>
          <w:bCs/>
        </w:rPr>
        <w:t>Following</w:t>
      </w:r>
      <w:r>
        <w:rPr>
          <w:bCs/>
        </w:rPr>
        <w:t xml:space="preserve"> tentative calendar is proposed for the implementation of SATRC Action Plan V</w:t>
      </w:r>
      <w:r w:rsidR="00E927F8">
        <w:rPr>
          <w:bCs/>
        </w:rPr>
        <w:t>I</w:t>
      </w:r>
      <w:r w:rsidR="00525A8F">
        <w:rPr>
          <w:bCs/>
        </w:rPr>
        <w:t>I</w:t>
      </w:r>
      <w:r>
        <w:rPr>
          <w:bCs/>
        </w:rPr>
        <w:t xml:space="preserve"> during the implementation period of 201</w:t>
      </w:r>
      <w:r w:rsidR="00525A8F">
        <w:rPr>
          <w:bCs/>
        </w:rPr>
        <w:t>9 – 2020</w:t>
      </w:r>
      <w:r>
        <w:rPr>
          <w:bCs/>
        </w:rPr>
        <w:t>.</w:t>
      </w:r>
    </w:p>
    <w:p w:rsidR="00304715" w:rsidRDefault="00304715">
      <w:pPr>
        <w:rPr>
          <w:bCs/>
        </w:rPr>
      </w:pPr>
      <w:r>
        <w:rPr>
          <w:bCs/>
        </w:rPr>
        <w:br w:type="page"/>
      </w:r>
    </w:p>
    <w:p w:rsidR="004613DF" w:rsidRDefault="004613DF" w:rsidP="00E46AE0">
      <w:pPr>
        <w:jc w:val="both"/>
        <w:rPr>
          <w:bCs/>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4A0" w:firstRow="1" w:lastRow="0" w:firstColumn="1" w:lastColumn="0" w:noHBand="0" w:noVBand="1"/>
      </w:tblPr>
      <w:tblGrid>
        <w:gridCol w:w="720"/>
        <w:gridCol w:w="4320"/>
        <w:gridCol w:w="1872"/>
        <w:gridCol w:w="2160"/>
      </w:tblGrid>
      <w:tr w:rsidR="00F9381D" w:rsidRPr="00816B8F" w:rsidTr="002B4E08">
        <w:trPr>
          <w:trHeight w:val="504"/>
        </w:trPr>
        <w:tc>
          <w:tcPr>
            <w:tcW w:w="720" w:type="dxa"/>
            <w:shd w:val="pct15" w:color="auto" w:fill="auto"/>
            <w:vAlign w:val="center"/>
          </w:tcPr>
          <w:p w:rsidR="004C4B0E" w:rsidRPr="00816B8F" w:rsidRDefault="004C4B0E">
            <w:pPr>
              <w:jc w:val="center"/>
              <w:rPr>
                <w:b/>
              </w:rPr>
            </w:pPr>
            <w:r w:rsidRPr="00816B8F">
              <w:rPr>
                <w:b/>
              </w:rPr>
              <w:t>No.</w:t>
            </w:r>
          </w:p>
        </w:tc>
        <w:tc>
          <w:tcPr>
            <w:tcW w:w="4320" w:type="dxa"/>
            <w:shd w:val="pct15" w:color="auto" w:fill="auto"/>
            <w:vAlign w:val="center"/>
          </w:tcPr>
          <w:p w:rsidR="004C4B0E" w:rsidRPr="00816B8F" w:rsidRDefault="004C4B0E">
            <w:pPr>
              <w:jc w:val="center"/>
              <w:rPr>
                <w:b/>
              </w:rPr>
            </w:pPr>
            <w:r w:rsidRPr="00816B8F">
              <w:rPr>
                <w:b/>
              </w:rPr>
              <w:t>Activity</w:t>
            </w:r>
          </w:p>
        </w:tc>
        <w:tc>
          <w:tcPr>
            <w:tcW w:w="1872" w:type="dxa"/>
            <w:shd w:val="pct15" w:color="auto" w:fill="auto"/>
            <w:vAlign w:val="center"/>
          </w:tcPr>
          <w:p w:rsidR="004C4B0E" w:rsidRPr="00816B8F" w:rsidRDefault="004C4B0E">
            <w:pPr>
              <w:jc w:val="center"/>
              <w:rPr>
                <w:b/>
              </w:rPr>
            </w:pPr>
            <w:r w:rsidRPr="00816B8F">
              <w:rPr>
                <w:b/>
              </w:rPr>
              <w:t>Time Frame</w:t>
            </w:r>
          </w:p>
        </w:tc>
        <w:tc>
          <w:tcPr>
            <w:tcW w:w="2160" w:type="dxa"/>
            <w:shd w:val="pct15" w:color="auto" w:fill="auto"/>
            <w:vAlign w:val="center"/>
          </w:tcPr>
          <w:p w:rsidR="004C4B0E" w:rsidRPr="00816B8F" w:rsidRDefault="004C4B0E">
            <w:pPr>
              <w:jc w:val="center"/>
              <w:rPr>
                <w:b/>
              </w:rPr>
            </w:pPr>
            <w:r w:rsidRPr="00816B8F">
              <w:rPr>
                <w:b/>
              </w:rPr>
              <w:t>Venue</w:t>
            </w:r>
          </w:p>
        </w:tc>
      </w:tr>
      <w:tr w:rsidR="004C4B0E" w:rsidRPr="00816B8F" w:rsidTr="002B4E08">
        <w:tc>
          <w:tcPr>
            <w:tcW w:w="720" w:type="dxa"/>
          </w:tcPr>
          <w:p w:rsidR="004C4B0E" w:rsidRPr="00D1342D" w:rsidRDefault="004C4B0E" w:rsidP="007A6DE1">
            <w:pPr>
              <w:jc w:val="center"/>
            </w:pPr>
            <w:r w:rsidRPr="00D1342D">
              <w:t>1.</w:t>
            </w:r>
          </w:p>
        </w:tc>
        <w:tc>
          <w:tcPr>
            <w:tcW w:w="4320" w:type="dxa"/>
          </w:tcPr>
          <w:p w:rsidR="004C4B0E" w:rsidRDefault="00E927F8" w:rsidP="005F1169">
            <w:r>
              <w:t xml:space="preserve">1st </w:t>
            </w:r>
            <w:r w:rsidR="004C4B0E">
              <w:t>Meeting of the SATRC Working Group on Policy, Regulation and Service</w:t>
            </w:r>
          </w:p>
          <w:p w:rsidR="004C4B0E" w:rsidRPr="00D1342D" w:rsidRDefault="004C4B0E" w:rsidP="005F1169"/>
        </w:tc>
        <w:tc>
          <w:tcPr>
            <w:tcW w:w="1872" w:type="dxa"/>
          </w:tcPr>
          <w:p w:rsidR="004C4B0E" w:rsidRPr="00D1342D" w:rsidRDefault="004C4B0E" w:rsidP="005F1169">
            <w:pPr>
              <w:jc w:val="center"/>
            </w:pPr>
            <w:r>
              <w:t>Q1</w:t>
            </w:r>
            <w:r w:rsidR="00CE2472">
              <w:t>/Q2</w:t>
            </w:r>
            <w:r>
              <w:t xml:space="preserve"> of 201</w:t>
            </w:r>
            <w:r w:rsidR="00276B31">
              <w:t>9</w:t>
            </w:r>
          </w:p>
        </w:tc>
        <w:tc>
          <w:tcPr>
            <w:tcW w:w="2160" w:type="dxa"/>
          </w:tcPr>
          <w:p w:rsidR="004613DF" w:rsidRDefault="00276B31" w:rsidP="00841705">
            <w:pPr>
              <w:jc w:val="center"/>
            </w:pPr>
            <w:r>
              <w:t xml:space="preserve">Sri Lanka </w:t>
            </w:r>
          </w:p>
          <w:p w:rsidR="004C4B0E" w:rsidRPr="00D1342D" w:rsidRDefault="00276B31" w:rsidP="00841705">
            <w:pPr>
              <w:jc w:val="center"/>
            </w:pPr>
            <w:r>
              <w:t>(to be confirmed)</w:t>
            </w:r>
          </w:p>
        </w:tc>
      </w:tr>
      <w:tr w:rsidR="004C4B0E" w:rsidRPr="00816B8F" w:rsidTr="002B4E08">
        <w:tc>
          <w:tcPr>
            <w:tcW w:w="720" w:type="dxa"/>
          </w:tcPr>
          <w:p w:rsidR="004C4B0E" w:rsidRPr="00D1342D" w:rsidRDefault="004C4B0E" w:rsidP="007A6DE1">
            <w:pPr>
              <w:jc w:val="center"/>
            </w:pPr>
            <w:r>
              <w:t>2.</w:t>
            </w:r>
          </w:p>
        </w:tc>
        <w:tc>
          <w:tcPr>
            <w:tcW w:w="4320" w:type="dxa"/>
          </w:tcPr>
          <w:p w:rsidR="004C4B0E" w:rsidRDefault="00003D00" w:rsidP="005F1169">
            <w:r>
              <w:t xml:space="preserve">1st </w:t>
            </w:r>
            <w:r w:rsidR="004C4B0E">
              <w:t>Meeting of the SATRC Working Group Spectrum</w:t>
            </w:r>
          </w:p>
          <w:p w:rsidR="004C4B0E" w:rsidRPr="00D1342D" w:rsidRDefault="004C4B0E" w:rsidP="005F1169"/>
        </w:tc>
        <w:tc>
          <w:tcPr>
            <w:tcW w:w="1872" w:type="dxa"/>
          </w:tcPr>
          <w:p w:rsidR="004C4B0E" w:rsidRPr="00D1342D" w:rsidRDefault="004C4B0E" w:rsidP="005F1169">
            <w:pPr>
              <w:jc w:val="center"/>
            </w:pPr>
            <w:r>
              <w:t>Q1</w:t>
            </w:r>
            <w:r w:rsidR="00CE2472">
              <w:t>/Q2</w:t>
            </w:r>
            <w:r>
              <w:t xml:space="preserve"> of 201</w:t>
            </w:r>
            <w:r w:rsidR="00276B31">
              <w:t>9</w:t>
            </w:r>
          </w:p>
        </w:tc>
        <w:tc>
          <w:tcPr>
            <w:tcW w:w="2160" w:type="dxa"/>
          </w:tcPr>
          <w:p w:rsidR="004613DF" w:rsidRDefault="00276B31" w:rsidP="00003D00">
            <w:pPr>
              <w:jc w:val="center"/>
            </w:pPr>
            <w:r>
              <w:t>Islamic Republic</w:t>
            </w:r>
          </w:p>
          <w:p w:rsidR="004C4B0E" w:rsidRPr="00D1342D" w:rsidRDefault="00276B31" w:rsidP="00003D00">
            <w:pPr>
              <w:jc w:val="center"/>
            </w:pPr>
            <w:r>
              <w:t>of Iran</w:t>
            </w:r>
          </w:p>
        </w:tc>
      </w:tr>
      <w:tr w:rsidR="00E927F8" w:rsidRPr="00816B8F" w:rsidTr="002B4E08">
        <w:tc>
          <w:tcPr>
            <w:tcW w:w="720" w:type="dxa"/>
          </w:tcPr>
          <w:p w:rsidR="00E927F8" w:rsidRDefault="00E927F8" w:rsidP="007A6DE1">
            <w:pPr>
              <w:jc w:val="center"/>
            </w:pPr>
            <w:r>
              <w:t>3.</w:t>
            </w:r>
          </w:p>
        </w:tc>
        <w:tc>
          <w:tcPr>
            <w:tcW w:w="4320" w:type="dxa"/>
          </w:tcPr>
          <w:p w:rsidR="00E927F8" w:rsidRDefault="005570E3" w:rsidP="005570E3">
            <w:r>
              <w:t xml:space="preserve">SATRC Workshop </w:t>
            </w:r>
            <w:bookmarkStart w:id="0" w:name="_GoBack"/>
            <w:bookmarkEnd w:id="0"/>
            <w:r w:rsidR="00E927F8">
              <w:t xml:space="preserve">on </w:t>
            </w:r>
            <w:r w:rsidR="00F9381D">
              <w:t xml:space="preserve">Spectrum </w:t>
            </w:r>
          </w:p>
        </w:tc>
        <w:tc>
          <w:tcPr>
            <w:tcW w:w="1872" w:type="dxa"/>
          </w:tcPr>
          <w:p w:rsidR="00E927F8" w:rsidRDefault="00962831" w:rsidP="00276B31">
            <w:pPr>
              <w:jc w:val="center"/>
            </w:pPr>
            <w:r>
              <w:t>Q</w:t>
            </w:r>
            <w:r w:rsidR="00276B31">
              <w:t xml:space="preserve">3 </w:t>
            </w:r>
            <w:r w:rsidR="00E927F8">
              <w:t>of 201</w:t>
            </w:r>
            <w:r w:rsidR="00276B31">
              <w:t>9</w:t>
            </w:r>
          </w:p>
        </w:tc>
        <w:tc>
          <w:tcPr>
            <w:tcW w:w="2160" w:type="dxa"/>
          </w:tcPr>
          <w:p w:rsidR="00E927F8" w:rsidRDefault="00276B31" w:rsidP="00003D00">
            <w:pPr>
              <w:jc w:val="center"/>
            </w:pPr>
            <w:r>
              <w:t>India</w:t>
            </w:r>
          </w:p>
          <w:p w:rsidR="00276B31" w:rsidRPr="00D1342D" w:rsidRDefault="00276B31" w:rsidP="00003D00">
            <w:pPr>
              <w:jc w:val="center"/>
            </w:pPr>
          </w:p>
        </w:tc>
      </w:tr>
      <w:tr w:rsidR="00F9381D" w:rsidRPr="00816B8F" w:rsidTr="002B4E08">
        <w:trPr>
          <w:trHeight w:val="566"/>
        </w:trPr>
        <w:tc>
          <w:tcPr>
            <w:tcW w:w="720" w:type="dxa"/>
            <w:shd w:val="pct10" w:color="auto" w:fill="auto"/>
          </w:tcPr>
          <w:p w:rsidR="004C4B0E" w:rsidRPr="00D1342D" w:rsidRDefault="00F959A4" w:rsidP="007A6DE1">
            <w:pPr>
              <w:jc w:val="center"/>
            </w:pPr>
            <w:r>
              <w:t>4</w:t>
            </w:r>
            <w:r w:rsidR="00C545C9">
              <w:t>.</w:t>
            </w:r>
          </w:p>
        </w:tc>
        <w:tc>
          <w:tcPr>
            <w:tcW w:w="4320" w:type="dxa"/>
            <w:shd w:val="pct10" w:color="auto" w:fill="auto"/>
          </w:tcPr>
          <w:p w:rsidR="004C4B0E" w:rsidRPr="00B84343" w:rsidRDefault="00276B31" w:rsidP="005F1169">
            <w:pPr>
              <w:rPr>
                <w:b/>
              </w:rPr>
            </w:pPr>
            <w:r>
              <w:rPr>
                <w:b/>
              </w:rPr>
              <w:t>20</w:t>
            </w:r>
            <w:r w:rsidR="00003D00">
              <w:rPr>
                <w:b/>
              </w:rPr>
              <w:t>th</w:t>
            </w:r>
            <w:r w:rsidR="00E927F8">
              <w:rPr>
                <w:b/>
              </w:rPr>
              <w:t xml:space="preserve"> </w:t>
            </w:r>
            <w:r w:rsidR="004C4B0E" w:rsidRPr="00B84343">
              <w:rPr>
                <w:b/>
              </w:rPr>
              <w:t>SATRC Meeting</w:t>
            </w:r>
          </w:p>
        </w:tc>
        <w:tc>
          <w:tcPr>
            <w:tcW w:w="1872" w:type="dxa"/>
            <w:shd w:val="pct10" w:color="auto" w:fill="auto"/>
          </w:tcPr>
          <w:p w:rsidR="004C4B0E" w:rsidRPr="00B84343" w:rsidRDefault="004C4B0E" w:rsidP="00C545C9">
            <w:pPr>
              <w:jc w:val="center"/>
              <w:rPr>
                <w:b/>
              </w:rPr>
            </w:pPr>
            <w:r w:rsidRPr="00B84343">
              <w:rPr>
                <w:b/>
              </w:rPr>
              <w:t>Q</w:t>
            </w:r>
            <w:r w:rsidR="00E927F8">
              <w:rPr>
                <w:b/>
              </w:rPr>
              <w:t>4</w:t>
            </w:r>
            <w:r w:rsidRPr="00B84343">
              <w:rPr>
                <w:b/>
              </w:rPr>
              <w:t xml:space="preserve"> of 201</w:t>
            </w:r>
            <w:r w:rsidR="00276B31">
              <w:rPr>
                <w:b/>
              </w:rPr>
              <w:t>9</w:t>
            </w:r>
          </w:p>
        </w:tc>
        <w:tc>
          <w:tcPr>
            <w:tcW w:w="2160" w:type="dxa"/>
            <w:shd w:val="pct10" w:color="auto" w:fill="auto"/>
          </w:tcPr>
          <w:p w:rsidR="004C4B0E" w:rsidRPr="00B84343" w:rsidRDefault="00276B31" w:rsidP="00F9381D">
            <w:pPr>
              <w:jc w:val="center"/>
              <w:rPr>
                <w:b/>
              </w:rPr>
            </w:pPr>
            <w:r>
              <w:rPr>
                <w:b/>
              </w:rPr>
              <w:t>Bhutan</w:t>
            </w:r>
          </w:p>
        </w:tc>
      </w:tr>
      <w:tr w:rsidR="00B84343" w:rsidRPr="00816B8F" w:rsidTr="002B4E08">
        <w:tc>
          <w:tcPr>
            <w:tcW w:w="720" w:type="dxa"/>
          </w:tcPr>
          <w:p w:rsidR="00B84343" w:rsidRDefault="00F959A4" w:rsidP="007A6DE1">
            <w:pPr>
              <w:jc w:val="center"/>
            </w:pPr>
            <w:r>
              <w:t>5</w:t>
            </w:r>
            <w:r w:rsidR="00B84343">
              <w:t>.</w:t>
            </w:r>
          </w:p>
        </w:tc>
        <w:tc>
          <w:tcPr>
            <w:tcW w:w="4320" w:type="dxa"/>
          </w:tcPr>
          <w:p w:rsidR="00B84343" w:rsidRDefault="00B84343" w:rsidP="00F959A4">
            <w:r>
              <w:t xml:space="preserve">SATRC </w:t>
            </w:r>
            <w:r w:rsidR="00276B31">
              <w:t>Workshop on Recent Trend and T</w:t>
            </w:r>
            <w:r w:rsidR="00003D00">
              <w:t xml:space="preserve">echnologies </w:t>
            </w:r>
          </w:p>
          <w:p w:rsidR="00F959A4" w:rsidRDefault="00F959A4" w:rsidP="00F959A4"/>
        </w:tc>
        <w:tc>
          <w:tcPr>
            <w:tcW w:w="1872" w:type="dxa"/>
          </w:tcPr>
          <w:p w:rsidR="00B84343" w:rsidRDefault="00B84343">
            <w:pPr>
              <w:jc w:val="center"/>
            </w:pPr>
            <w:r>
              <w:t>Q</w:t>
            </w:r>
            <w:r w:rsidR="00F959A4">
              <w:t>1</w:t>
            </w:r>
            <w:r w:rsidR="00276B31">
              <w:t xml:space="preserve"> of 2020</w:t>
            </w:r>
          </w:p>
        </w:tc>
        <w:tc>
          <w:tcPr>
            <w:tcW w:w="2160" w:type="dxa"/>
          </w:tcPr>
          <w:p w:rsidR="00B84343" w:rsidRDefault="00276B31" w:rsidP="00003D00">
            <w:pPr>
              <w:jc w:val="center"/>
            </w:pPr>
            <w:r>
              <w:t>Afghanistan</w:t>
            </w:r>
          </w:p>
        </w:tc>
      </w:tr>
      <w:tr w:rsidR="00B84343" w:rsidRPr="00816B8F" w:rsidTr="002B4E08">
        <w:tc>
          <w:tcPr>
            <w:tcW w:w="720" w:type="dxa"/>
          </w:tcPr>
          <w:p w:rsidR="00B84343" w:rsidRDefault="00F959A4" w:rsidP="007A6DE1">
            <w:pPr>
              <w:jc w:val="center"/>
            </w:pPr>
            <w:r>
              <w:t>6</w:t>
            </w:r>
            <w:r w:rsidR="00B84343">
              <w:t>.</w:t>
            </w:r>
          </w:p>
        </w:tc>
        <w:tc>
          <w:tcPr>
            <w:tcW w:w="4320" w:type="dxa"/>
          </w:tcPr>
          <w:p w:rsidR="00B84343" w:rsidRDefault="00276B31" w:rsidP="0029036E">
            <w:r>
              <w:t>SATRC Workshop on Policy, Regulation and Services</w:t>
            </w:r>
          </w:p>
          <w:p w:rsidR="0029036E" w:rsidRDefault="0029036E" w:rsidP="0029036E"/>
        </w:tc>
        <w:tc>
          <w:tcPr>
            <w:tcW w:w="1872" w:type="dxa"/>
          </w:tcPr>
          <w:p w:rsidR="00B84343" w:rsidRDefault="00B84343" w:rsidP="00F959A4">
            <w:pPr>
              <w:jc w:val="center"/>
            </w:pPr>
            <w:r>
              <w:t>Q</w:t>
            </w:r>
            <w:r w:rsidR="00276B31">
              <w:t>2 of 2020</w:t>
            </w:r>
          </w:p>
        </w:tc>
        <w:tc>
          <w:tcPr>
            <w:tcW w:w="2160" w:type="dxa"/>
          </w:tcPr>
          <w:p w:rsidR="00B84343" w:rsidRDefault="00276B31" w:rsidP="00003D00">
            <w:pPr>
              <w:jc w:val="center"/>
            </w:pPr>
            <w:r>
              <w:t>Pakistan</w:t>
            </w:r>
          </w:p>
        </w:tc>
      </w:tr>
      <w:tr w:rsidR="00F959A4" w:rsidRPr="00816B8F" w:rsidTr="002B4E08">
        <w:tc>
          <w:tcPr>
            <w:tcW w:w="720" w:type="dxa"/>
          </w:tcPr>
          <w:p w:rsidR="00F959A4" w:rsidRDefault="00F959A4" w:rsidP="007A6DE1">
            <w:pPr>
              <w:jc w:val="center"/>
            </w:pPr>
            <w:r>
              <w:t>7.</w:t>
            </w:r>
          </w:p>
        </w:tc>
        <w:tc>
          <w:tcPr>
            <w:tcW w:w="4320" w:type="dxa"/>
          </w:tcPr>
          <w:p w:rsidR="00276B31" w:rsidRDefault="00276B31" w:rsidP="00276B31">
            <w:r>
              <w:t>2nd Meeting of the SATRC Working Group on Policy, Regulation and Services</w:t>
            </w:r>
          </w:p>
          <w:p w:rsidR="00F959A4" w:rsidRDefault="00F959A4" w:rsidP="00276B31"/>
        </w:tc>
        <w:tc>
          <w:tcPr>
            <w:tcW w:w="1872" w:type="dxa"/>
          </w:tcPr>
          <w:p w:rsidR="00F959A4" w:rsidRDefault="00276B31" w:rsidP="00F959A4">
            <w:pPr>
              <w:jc w:val="center"/>
            </w:pPr>
            <w:r>
              <w:t>Q3 of 2020</w:t>
            </w:r>
            <w:r w:rsidR="00F959A4">
              <w:t xml:space="preserve"> </w:t>
            </w:r>
          </w:p>
        </w:tc>
        <w:tc>
          <w:tcPr>
            <w:tcW w:w="2160" w:type="dxa"/>
          </w:tcPr>
          <w:p w:rsidR="00F959A4" w:rsidRDefault="00276B31" w:rsidP="00003D00">
            <w:pPr>
              <w:jc w:val="center"/>
            </w:pPr>
            <w:r>
              <w:t>Maldives</w:t>
            </w:r>
          </w:p>
        </w:tc>
      </w:tr>
      <w:tr w:rsidR="00F959A4" w:rsidRPr="00816B8F" w:rsidTr="002B4E08">
        <w:tc>
          <w:tcPr>
            <w:tcW w:w="720" w:type="dxa"/>
          </w:tcPr>
          <w:p w:rsidR="00F959A4" w:rsidRDefault="00F9381D" w:rsidP="007A6DE1">
            <w:pPr>
              <w:jc w:val="center"/>
            </w:pPr>
            <w:r>
              <w:t>8</w:t>
            </w:r>
            <w:r w:rsidR="00F959A4">
              <w:t>.</w:t>
            </w:r>
          </w:p>
        </w:tc>
        <w:tc>
          <w:tcPr>
            <w:tcW w:w="4320" w:type="dxa"/>
          </w:tcPr>
          <w:p w:rsidR="00276B31" w:rsidRDefault="00276B31" w:rsidP="00276B31">
            <w:r>
              <w:t>2nd Meeting of the SATRC Working Group on Spectrum</w:t>
            </w:r>
          </w:p>
          <w:p w:rsidR="00F959A4" w:rsidRDefault="00F959A4" w:rsidP="00F959A4"/>
        </w:tc>
        <w:tc>
          <w:tcPr>
            <w:tcW w:w="1872" w:type="dxa"/>
          </w:tcPr>
          <w:p w:rsidR="00F959A4" w:rsidRDefault="00F959A4" w:rsidP="003A1D58">
            <w:pPr>
              <w:jc w:val="center"/>
            </w:pPr>
            <w:r>
              <w:t>Q</w:t>
            </w:r>
            <w:r w:rsidR="003A1D58">
              <w:t>3</w:t>
            </w:r>
            <w:r w:rsidR="00276B31">
              <w:t xml:space="preserve"> of 2020</w:t>
            </w:r>
          </w:p>
        </w:tc>
        <w:tc>
          <w:tcPr>
            <w:tcW w:w="2160" w:type="dxa"/>
          </w:tcPr>
          <w:p w:rsidR="00F959A4" w:rsidRDefault="00F9381D" w:rsidP="00003D00">
            <w:pPr>
              <w:jc w:val="center"/>
            </w:pPr>
            <w:r>
              <w:t>Nepal</w:t>
            </w:r>
          </w:p>
        </w:tc>
      </w:tr>
      <w:tr w:rsidR="00F9381D" w:rsidRPr="00816B8F" w:rsidTr="002B4E08">
        <w:tc>
          <w:tcPr>
            <w:tcW w:w="720" w:type="dxa"/>
            <w:shd w:val="pct10" w:color="auto" w:fill="auto"/>
          </w:tcPr>
          <w:p w:rsidR="00F959A4" w:rsidRDefault="00F9381D" w:rsidP="007A6DE1">
            <w:pPr>
              <w:jc w:val="center"/>
            </w:pPr>
            <w:r>
              <w:t>9</w:t>
            </w:r>
            <w:r w:rsidR="00F959A4">
              <w:t>.</w:t>
            </w:r>
          </w:p>
        </w:tc>
        <w:tc>
          <w:tcPr>
            <w:tcW w:w="4320" w:type="dxa"/>
            <w:shd w:val="pct10" w:color="auto" w:fill="auto"/>
          </w:tcPr>
          <w:p w:rsidR="00F959A4" w:rsidRDefault="00276B31" w:rsidP="00F959A4">
            <w:pPr>
              <w:rPr>
                <w:b/>
              </w:rPr>
            </w:pPr>
            <w:r>
              <w:rPr>
                <w:b/>
              </w:rPr>
              <w:t>21st</w:t>
            </w:r>
            <w:r w:rsidR="003A1D58">
              <w:rPr>
                <w:b/>
              </w:rPr>
              <w:t xml:space="preserve"> </w:t>
            </w:r>
            <w:r w:rsidR="00F959A4" w:rsidRPr="00B84343">
              <w:rPr>
                <w:b/>
              </w:rPr>
              <w:t>SATRC Meeting</w:t>
            </w:r>
          </w:p>
          <w:p w:rsidR="00003D00" w:rsidRPr="00B84343" w:rsidRDefault="00003D00" w:rsidP="00F959A4">
            <w:pPr>
              <w:rPr>
                <w:b/>
              </w:rPr>
            </w:pPr>
          </w:p>
        </w:tc>
        <w:tc>
          <w:tcPr>
            <w:tcW w:w="1872" w:type="dxa"/>
            <w:shd w:val="pct10" w:color="auto" w:fill="auto"/>
          </w:tcPr>
          <w:p w:rsidR="00F959A4" w:rsidRPr="00B84343" w:rsidRDefault="003A1D58" w:rsidP="00F959A4">
            <w:pPr>
              <w:jc w:val="center"/>
              <w:rPr>
                <w:b/>
              </w:rPr>
            </w:pPr>
            <w:r>
              <w:rPr>
                <w:b/>
              </w:rPr>
              <w:t>Q4</w:t>
            </w:r>
            <w:r w:rsidR="00276B31">
              <w:rPr>
                <w:b/>
              </w:rPr>
              <w:t xml:space="preserve"> of 2020</w:t>
            </w:r>
          </w:p>
        </w:tc>
        <w:tc>
          <w:tcPr>
            <w:tcW w:w="2160" w:type="dxa"/>
            <w:shd w:val="pct10" w:color="auto" w:fill="auto"/>
          </w:tcPr>
          <w:p w:rsidR="004613DF" w:rsidRDefault="00276B31" w:rsidP="00F9381D">
            <w:pPr>
              <w:jc w:val="center"/>
              <w:rPr>
                <w:b/>
              </w:rPr>
            </w:pPr>
            <w:r>
              <w:rPr>
                <w:b/>
              </w:rPr>
              <w:t>Islamic Republic</w:t>
            </w:r>
          </w:p>
          <w:p w:rsidR="00F959A4" w:rsidRPr="00B84343" w:rsidRDefault="00276B31" w:rsidP="00F9381D">
            <w:pPr>
              <w:jc w:val="center"/>
              <w:rPr>
                <w:b/>
              </w:rPr>
            </w:pPr>
            <w:r>
              <w:rPr>
                <w:b/>
              </w:rPr>
              <w:t>of Iran</w:t>
            </w:r>
          </w:p>
        </w:tc>
      </w:tr>
    </w:tbl>
    <w:p w:rsidR="00873D23" w:rsidRPr="002B4E08" w:rsidRDefault="004C4B0E" w:rsidP="00E46AE0">
      <w:pPr>
        <w:jc w:val="both"/>
      </w:pPr>
      <w:r>
        <w:rPr>
          <w:bCs/>
        </w:rPr>
        <w:t xml:space="preserve"> </w:t>
      </w:r>
    </w:p>
    <w:p w:rsidR="00873D23" w:rsidRPr="002B4E08" w:rsidRDefault="00873D23" w:rsidP="00F9381D">
      <w:pPr>
        <w:jc w:val="both"/>
      </w:pPr>
    </w:p>
    <w:p w:rsidR="00873D23" w:rsidRPr="002B4E08" w:rsidRDefault="004613DF" w:rsidP="00873D23">
      <w:pPr>
        <w:jc w:val="center"/>
      </w:pPr>
      <w:r>
        <w:t>_______________</w:t>
      </w:r>
    </w:p>
    <w:sectPr w:rsidR="00873D23" w:rsidRPr="002B4E08" w:rsidSect="002B4E08">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B62" w:rsidRDefault="00630B62">
      <w:r>
        <w:separator/>
      </w:r>
    </w:p>
  </w:endnote>
  <w:endnote w:type="continuationSeparator" w:id="0">
    <w:p w:rsidR="00630B62" w:rsidRDefault="0063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A55DD6" w:rsidP="00304715">
    <w:pPr>
      <w:pStyle w:val="Footer"/>
      <w:tabs>
        <w:tab w:val="clear" w:pos="4320"/>
        <w:tab w:val="clear" w:pos="8640"/>
        <w:tab w:val="right" w:pos="9270"/>
        <w:tab w:val="right" w:pos="14040"/>
      </w:tabs>
      <w:ind w:right="47"/>
      <w:jc w:val="both"/>
      <w:rPr>
        <w:rStyle w:val="PageNumber"/>
      </w:rPr>
    </w:pPr>
    <w:r>
      <w:rPr>
        <w:rStyle w:val="PageNumber"/>
      </w:rPr>
      <w:t>SATRC-19/OUT-09</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5570E3">
      <w:rPr>
        <w:rStyle w:val="PageNumber"/>
        <w:noProof/>
      </w:rPr>
      <w:t>8</w:t>
    </w:r>
    <w:r w:rsidR="002C7EA9" w:rsidRPr="002C7EA9">
      <w:rPr>
        <w:rStyle w:val="PageNumber"/>
      </w:rPr>
      <w:fldChar w:fldCharType="end"/>
    </w:r>
    <w:r w:rsidR="002C7EA9" w:rsidRPr="002C7EA9">
      <w:rPr>
        <w:rStyle w:val="PageNumber"/>
      </w:rPr>
      <w:t xml:space="preserve"> of </w:t>
    </w:r>
    <w:r w:rsidR="005F1265">
      <w:rPr>
        <w:rStyle w:val="PageNumber"/>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5F1265" w:rsidP="002B4E08">
    <w:pPr>
      <w:pStyle w:val="Footer"/>
      <w:tabs>
        <w:tab w:val="clear" w:pos="4320"/>
        <w:tab w:val="clear" w:pos="8640"/>
        <w:tab w:val="right" w:pos="9180"/>
        <w:tab w:val="right" w:pos="14040"/>
      </w:tabs>
      <w:ind w:right="-7"/>
      <w:jc w:val="both"/>
    </w:pPr>
    <w:r>
      <w:t>SATRC-19/OUT-09</w:t>
    </w:r>
    <w:r>
      <w:tab/>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570E3">
      <w:rPr>
        <w:rStyle w:val="PageNumber"/>
        <w:noProof/>
      </w:rPr>
      <w:t>7</w:t>
    </w:r>
    <w:r w:rsidRPr="002C7EA9">
      <w:rPr>
        <w:rStyle w:val="PageNumber"/>
      </w:rPr>
      <w:fldChar w:fldCharType="end"/>
    </w:r>
    <w:r w:rsidRPr="002C7EA9">
      <w:rPr>
        <w:rStyle w:val="PageNumber"/>
      </w:rPr>
      <w:t xml:space="preserve"> of </w:t>
    </w:r>
    <w:r>
      <w:rPr>
        <w:rStyle w:val="PageNumber"/>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B62" w:rsidRDefault="00630B62">
      <w:r>
        <w:separator/>
      </w:r>
    </w:p>
  </w:footnote>
  <w:footnote w:type="continuationSeparator" w:id="0">
    <w:p w:rsidR="00630B62" w:rsidRDefault="00630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A55DD6">
    <w:pPr>
      <w:pStyle w:val="Header"/>
      <w:tabs>
        <w:tab w:val="clear" w:pos="4320"/>
        <w:tab w:val="clear" w:pos="8640"/>
      </w:tabs>
      <w:jc w:val="both"/>
      <w:rPr>
        <w:lang w:eastAsia="ko-KR"/>
      </w:rPr>
    </w:pPr>
  </w:p>
  <w:p w:rsidR="00A55DD6" w:rsidRDefault="00A55DD6" w:rsidP="00A55DD6">
    <w:pPr>
      <w:pStyle w:val="Header"/>
      <w:tabs>
        <w:tab w:val="clear" w:pos="4320"/>
        <w:tab w:val="clear" w:pos="8640"/>
      </w:tabs>
      <w:jc w:val="both"/>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32" w:rsidRDefault="00253032" w:rsidP="00A55DD6">
    <w:pPr>
      <w:pStyle w:val="Header"/>
      <w:tabs>
        <w:tab w:val="clear" w:pos="4320"/>
        <w:tab w:val="clear" w:pos="8640"/>
      </w:tabs>
    </w:pPr>
  </w:p>
  <w:p w:rsidR="00A55DD6" w:rsidRDefault="00A55DD6" w:rsidP="00A55DD6">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462A"/>
    <w:multiLevelType w:val="hybridMultilevel"/>
    <w:tmpl w:val="41B8A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6AC76B5"/>
    <w:multiLevelType w:val="hybridMultilevel"/>
    <w:tmpl w:val="B8B6A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E35E6"/>
    <w:multiLevelType w:val="hybridMultilevel"/>
    <w:tmpl w:val="D4AA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94C2B"/>
    <w:multiLevelType w:val="hybridMultilevel"/>
    <w:tmpl w:val="D3E463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D7430A"/>
    <w:multiLevelType w:val="hybridMultilevel"/>
    <w:tmpl w:val="45043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31B7731"/>
    <w:multiLevelType w:val="hybridMultilevel"/>
    <w:tmpl w:val="B3BA5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CB95F9D"/>
    <w:multiLevelType w:val="hybridMultilevel"/>
    <w:tmpl w:val="72E2B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33C371D"/>
    <w:multiLevelType w:val="hybridMultilevel"/>
    <w:tmpl w:val="33D4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765A0C"/>
    <w:multiLevelType w:val="hybridMultilevel"/>
    <w:tmpl w:val="A110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27C3D"/>
    <w:multiLevelType w:val="hybridMultilevel"/>
    <w:tmpl w:val="2B280B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47EB4D89"/>
    <w:multiLevelType w:val="hybridMultilevel"/>
    <w:tmpl w:val="063A3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BC0930"/>
    <w:multiLevelType w:val="hybridMultilevel"/>
    <w:tmpl w:val="01741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0774CD"/>
    <w:multiLevelType w:val="hybridMultilevel"/>
    <w:tmpl w:val="5EFC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F942F9B"/>
    <w:multiLevelType w:val="hybridMultilevel"/>
    <w:tmpl w:val="02887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7"/>
  </w:num>
  <w:num w:numId="4">
    <w:abstractNumId w:val="20"/>
  </w:num>
  <w:num w:numId="5">
    <w:abstractNumId w:val="11"/>
  </w:num>
  <w:num w:numId="6">
    <w:abstractNumId w:val="16"/>
  </w:num>
  <w:num w:numId="7">
    <w:abstractNumId w:val="5"/>
  </w:num>
  <w:num w:numId="8">
    <w:abstractNumId w:val="1"/>
  </w:num>
  <w:num w:numId="9">
    <w:abstractNumId w:val="8"/>
  </w:num>
  <w:num w:numId="10">
    <w:abstractNumId w:val="10"/>
  </w:num>
  <w:num w:numId="11">
    <w:abstractNumId w:val="2"/>
  </w:num>
  <w:num w:numId="12">
    <w:abstractNumId w:val="13"/>
  </w:num>
  <w:num w:numId="13">
    <w:abstractNumId w:val="21"/>
  </w:num>
  <w:num w:numId="14">
    <w:abstractNumId w:val="17"/>
  </w:num>
  <w:num w:numId="15">
    <w:abstractNumId w:val="19"/>
  </w:num>
  <w:num w:numId="16">
    <w:abstractNumId w:val="18"/>
  </w:num>
  <w:num w:numId="17">
    <w:abstractNumId w:val="14"/>
  </w:num>
  <w:num w:numId="18">
    <w:abstractNumId w:val="3"/>
  </w:num>
  <w:num w:numId="19">
    <w:abstractNumId w:val="12"/>
  </w:num>
  <w:num w:numId="20">
    <w:abstractNumId w:val="6"/>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EE"/>
    <w:rsid w:val="000011E8"/>
    <w:rsid w:val="00002D12"/>
    <w:rsid w:val="00003D00"/>
    <w:rsid w:val="0003595B"/>
    <w:rsid w:val="00044A75"/>
    <w:rsid w:val="0006484D"/>
    <w:rsid w:val="0008366C"/>
    <w:rsid w:val="00095A1C"/>
    <w:rsid w:val="000A2E22"/>
    <w:rsid w:val="000A4256"/>
    <w:rsid w:val="000B03F8"/>
    <w:rsid w:val="000C447E"/>
    <w:rsid w:val="000C6C98"/>
    <w:rsid w:val="000D6FE5"/>
    <w:rsid w:val="000F2EB0"/>
    <w:rsid w:val="000F5540"/>
    <w:rsid w:val="00100E5F"/>
    <w:rsid w:val="001340EF"/>
    <w:rsid w:val="001663E8"/>
    <w:rsid w:val="0018281C"/>
    <w:rsid w:val="00196568"/>
    <w:rsid w:val="001B18C2"/>
    <w:rsid w:val="001B2CB2"/>
    <w:rsid w:val="001B508D"/>
    <w:rsid w:val="001B7065"/>
    <w:rsid w:val="001B72F3"/>
    <w:rsid w:val="001C342F"/>
    <w:rsid w:val="001C52ED"/>
    <w:rsid w:val="001C7753"/>
    <w:rsid w:val="001D5D7E"/>
    <w:rsid w:val="00200ECB"/>
    <w:rsid w:val="00202B62"/>
    <w:rsid w:val="00204E2A"/>
    <w:rsid w:val="00210F8F"/>
    <w:rsid w:val="00214FDB"/>
    <w:rsid w:val="00231283"/>
    <w:rsid w:val="00233F5E"/>
    <w:rsid w:val="00251D1E"/>
    <w:rsid w:val="00253032"/>
    <w:rsid w:val="00253A8D"/>
    <w:rsid w:val="00254A1B"/>
    <w:rsid w:val="00262EAB"/>
    <w:rsid w:val="00263F1F"/>
    <w:rsid w:val="00264D61"/>
    <w:rsid w:val="00275267"/>
    <w:rsid w:val="00276B31"/>
    <w:rsid w:val="0028454D"/>
    <w:rsid w:val="0029036E"/>
    <w:rsid w:val="002926D4"/>
    <w:rsid w:val="0029556E"/>
    <w:rsid w:val="00295F04"/>
    <w:rsid w:val="00297B10"/>
    <w:rsid w:val="002A54F2"/>
    <w:rsid w:val="002B16B8"/>
    <w:rsid w:val="002B4E08"/>
    <w:rsid w:val="002C07DA"/>
    <w:rsid w:val="002C18EE"/>
    <w:rsid w:val="002C7EA9"/>
    <w:rsid w:val="002C7F55"/>
    <w:rsid w:val="002D4452"/>
    <w:rsid w:val="002E307A"/>
    <w:rsid w:val="002F2C66"/>
    <w:rsid w:val="00304715"/>
    <w:rsid w:val="00320614"/>
    <w:rsid w:val="00322509"/>
    <w:rsid w:val="00342776"/>
    <w:rsid w:val="0034445A"/>
    <w:rsid w:val="00354C21"/>
    <w:rsid w:val="00360BBE"/>
    <w:rsid w:val="00371F2C"/>
    <w:rsid w:val="0037210E"/>
    <w:rsid w:val="0039430D"/>
    <w:rsid w:val="003A1D58"/>
    <w:rsid w:val="003A232C"/>
    <w:rsid w:val="003B0DDA"/>
    <w:rsid w:val="003B6263"/>
    <w:rsid w:val="003C64A7"/>
    <w:rsid w:val="003D3FDA"/>
    <w:rsid w:val="003D55BC"/>
    <w:rsid w:val="003D6607"/>
    <w:rsid w:val="003F2317"/>
    <w:rsid w:val="0040244B"/>
    <w:rsid w:val="00420822"/>
    <w:rsid w:val="00422E79"/>
    <w:rsid w:val="00426702"/>
    <w:rsid w:val="00437382"/>
    <w:rsid w:val="0045458F"/>
    <w:rsid w:val="004613DF"/>
    <w:rsid w:val="004626A7"/>
    <w:rsid w:val="0048196A"/>
    <w:rsid w:val="0048298D"/>
    <w:rsid w:val="00486F61"/>
    <w:rsid w:val="00492E77"/>
    <w:rsid w:val="004B64C9"/>
    <w:rsid w:val="004C4B0E"/>
    <w:rsid w:val="004C74EE"/>
    <w:rsid w:val="004D7E0C"/>
    <w:rsid w:val="004E3DF5"/>
    <w:rsid w:val="004F3588"/>
    <w:rsid w:val="004F7FB2"/>
    <w:rsid w:val="00524B88"/>
    <w:rsid w:val="00525A8F"/>
    <w:rsid w:val="00530E8C"/>
    <w:rsid w:val="00535AF9"/>
    <w:rsid w:val="00550610"/>
    <w:rsid w:val="00552567"/>
    <w:rsid w:val="005570E3"/>
    <w:rsid w:val="00587875"/>
    <w:rsid w:val="005A3BBA"/>
    <w:rsid w:val="005C1462"/>
    <w:rsid w:val="005C532B"/>
    <w:rsid w:val="005F1265"/>
    <w:rsid w:val="005F3C65"/>
    <w:rsid w:val="005F746F"/>
    <w:rsid w:val="00605512"/>
    <w:rsid w:val="00607E2B"/>
    <w:rsid w:val="00614171"/>
    <w:rsid w:val="0062715B"/>
    <w:rsid w:val="0063062B"/>
    <w:rsid w:val="00630B62"/>
    <w:rsid w:val="00642326"/>
    <w:rsid w:val="006446BF"/>
    <w:rsid w:val="00657259"/>
    <w:rsid w:val="00667229"/>
    <w:rsid w:val="00670449"/>
    <w:rsid w:val="006730DB"/>
    <w:rsid w:val="00682BE5"/>
    <w:rsid w:val="00696B36"/>
    <w:rsid w:val="006D6D39"/>
    <w:rsid w:val="006E00C2"/>
    <w:rsid w:val="006E3D1B"/>
    <w:rsid w:val="006F1B6B"/>
    <w:rsid w:val="006F2536"/>
    <w:rsid w:val="006F5069"/>
    <w:rsid w:val="006F7DF2"/>
    <w:rsid w:val="00732B46"/>
    <w:rsid w:val="0074190C"/>
    <w:rsid w:val="007426D8"/>
    <w:rsid w:val="0075520B"/>
    <w:rsid w:val="00762576"/>
    <w:rsid w:val="007823BE"/>
    <w:rsid w:val="007977D3"/>
    <w:rsid w:val="007A6DE1"/>
    <w:rsid w:val="007D2339"/>
    <w:rsid w:val="007D2579"/>
    <w:rsid w:val="0080570B"/>
    <w:rsid w:val="00806387"/>
    <w:rsid w:val="008148E1"/>
    <w:rsid w:val="00824436"/>
    <w:rsid w:val="00824D64"/>
    <w:rsid w:val="00827A86"/>
    <w:rsid w:val="00841705"/>
    <w:rsid w:val="008438D7"/>
    <w:rsid w:val="00860B17"/>
    <w:rsid w:val="00873D23"/>
    <w:rsid w:val="008772C4"/>
    <w:rsid w:val="008B0C8E"/>
    <w:rsid w:val="008C1143"/>
    <w:rsid w:val="008D0E09"/>
    <w:rsid w:val="008D5873"/>
    <w:rsid w:val="008E1178"/>
    <w:rsid w:val="008E1383"/>
    <w:rsid w:val="008E529F"/>
    <w:rsid w:val="008F39A8"/>
    <w:rsid w:val="00903472"/>
    <w:rsid w:val="009075FD"/>
    <w:rsid w:val="00915D63"/>
    <w:rsid w:val="0093067B"/>
    <w:rsid w:val="00931A0E"/>
    <w:rsid w:val="00935576"/>
    <w:rsid w:val="00951E67"/>
    <w:rsid w:val="009551CF"/>
    <w:rsid w:val="00962831"/>
    <w:rsid w:val="009765B7"/>
    <w:rsid w:val="0097693B"/>
    <w:rsid w:val="00977989"/>
    <w:rsid w:val="00986146"/>
    <w:rsid w:val="009A4A6D"/>
    <w:rsid w:val="009A54D3"/>
    <w:rsid w:val="009B7897"/>
    <w:rsid w:val="009C2B65"/>
    <w:rsid w:val="009D1102"/>
    <w:rsid w:val="009D5509"/>
    <w:rsid w:val="009E0BF8"/>
    <w:rsid w:val="009E5CDA"/>
    <w:rsid w:val="009F5D7B"/>
    <w:rsid w:val="00A00E5B"/>
    <w:rsid w:val="00A01F69"/>
    <w:rsid w:val="00A16BBC"/>
    <w:rsid w:val="00A315A5"/>
    <w:rsid w:val="00A40F36"/>
    <w:rsid w:val="00A438A8"/>
    <w:rsid w:val="00A46008"/>
    <w:rsid w:val="00A525B5"/>
    <w:rsid w:val="00A548EF"/>
    <w:rsid w:val="00A55DD6"/>
    <w:rsid w:val="00A87992"/>
    <w:rsid w:val="00A97B2A"/>
    <w:rsid w:val="00AA0542"/>
    <w:rsid w:val="00AA1FA0"/>
    <w:rsid w:val="00AA474C"/>
    <w:rsid w:val="00AB7A65"/>
    <w:rsid w:val="00AD7E5F"/>
    <w:rsid w:val="00AF7E36"/>
    <w:rsid w:val="00B25D6A"/>
    <w:rsid w:val="00B30C81"/>
    <w:rsid w:val="00B43E3D"/>
    <w:rsid w:val="00B44FFB"/>
    <w:rsid w:val="00B641A6"/>
    <w:rsid w:val="00B70CA5"/>
    <w:rsid w:val="00B72044"/>
    <w:rsid w:val="00B7320A"/>
    <w:rsid w:val="00B82F23"/>
    <w:rsid w:val="00B84343"/>
    <w:rsid w:val="00B92CCA"/>
    <w:rsid w:val="00BA78AC"/>
    <w:rsid w:val="00BB5BE6"/>
    <w:rsid w:val="00BC056F"/>
    <w:rsid w:val="00BC514B"/>
    <w:rsid w:val="00BD0927"/>
    <w:rsid w:val="00BD21D4"/>
    <w:rsid w:val="00BD38CA"/>
    <w:rsid w:val="00BF663E"/>
    <w:rsid w:val="00C15633"/>
    <w:rsid w:val="00C17F9B"/>
    <w:rsid w:val="00C265F6"/>
    <w:rsid w:val="00C26E99"/>
    <w:rsid w:val="00C357AD"/>
    <w:rsid w:val="00C545C9"/>
    <w:rsid w:val="00C76A83"/>
    <w:rsid w:val="00C77C46"/>
    <w:rsid w:val="00C843CC"/>
    <w:rsid w:val="00CA52F5"/>
    <w:rsid w:val="00CB1C56"/>
    <w:rsid w:val="00CD5431"/>
    <w:rsid w:val="00CD75B4"/>
    <w:rsid w:val="00CE2472"/>
    <w:rsid w:val="00CE74EB"/>
    <w:rsid w:val="00CE7E22"/>
    <w:rsid w:val="00CF083B"/>
    <w:rsid w:val="00CF1E6E"/>
    <w:rsid w:val="00CF2491"/>
    <w:rsid w:val="00CF2BA0"/>
    <w:rsid w:val="00D163D1"/>
    <w:rsid w:val="00D37907"/>
    <w:rsid w:val="00D575CA"/>
    <w:rsid w:val="00D57772"/>
    <w:rsid w:val="00D60091"/>
    <w:rsid w:val="00D67796"/>
    <w:rsid w:val="00D70E4E"/>
    <w:rsid w:val="00D71BB7"/>
    <w:rsid w:val="00D73038"/>
    <w:rsid w:val="00D75A4D"/>
    <w:rsid w:val="00D8478B"/>
    <w:rsid w:val="00D86151"/>
    <w:rsid w:val="00DA7595"/>
    <w:rsid w:val="00DB0A68"/>
    <w:rsid w:val="00DB41A7"/>
    <w:rsid w:val="00DB6725"/>
    <w:rsid w:val="00DC43A3"/>
    <w:rsid w:val="00DD2C7A"/>
    <w:rsid w:val="00DE20EE"/>
    <w:rsid w:val="00DF2E42"/>
    <w:rsid w:val="00E035A1"/>
    <w:rsid w:val="00E11CD0"/>
    <w:rsid w:val="00E13EAA"/>
    <w:rsid w:val="00E41A8F"/>
    <w:rsid w:val="00E46AE0"/>
    <w:rsid w:val="00E60500"/>
    <w:rsid w:val="00E61EC1"/>
    <w:rsid w:val="00E674D3"/>
    <w:rsid w:val="00E91EA8"/>
    <w:rsid w:val="00E927F8"/>
    <w:rsid w:val="00EA7BBC"/>
    <w:rsid w:val="00EB56AC"/>
    <w:rsid w:val="00F00114"/>
    <w:rsid w:val="00F14059"/>
    <w:rsid w:val="00F23FCD"/>
    <w:rsid w:val="00F34840"/>
    <w:rsid w:val="00F361B6"/>
    <w:rsid w:val="00F4528C"/>
    <w:rsid w:val="00F47A31"/>
    <w:rsid w:val="00F5621B"/>
    <w:rsid w:val="00F61B39"/>
    <w:rsid w:val="00F71151"/>
    <w:rsid w:val="00F80B3A"/>
    <w:rsid w:val="00F84067"/>
    <w:rsid w:val="00F9381D"/>
    <w:rsid w:val="00F94CDB"/>
    <w:rsid w:val="00F959A4"/>
    <w:rsid w:val="00FA511E"/>
    <w:rsid w:val="00FB4206"/>
    <w:rsid w:val="00FC2CE0"/>
    <w:rsid w:val="00FD3C5E"/>
    <w:rsid w:val="00FD592E"/>
    <w:rsid w:val="00FE383E"/>
    <w:rsid w:val="00FF5B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7DA5D9-E7AC-483C-8918-52A804A7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DE20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F1B6B"/>
    <w:pPr>
      <w:ind w:left="720"/>
    </w:pPr>
  </w:style>
  <w:style w:type="paragraph" w:styleId="BalloonText">
    <w:name w:val="Balloon Text"/>
    <w:basedOn w:val="Normal"/>
    <w:link w:val="BalloonTextChar"/>
    <w:rsid w:val="00DB41A7"/>
    <w:rPr>
      <w:rFonts w:ascii="Tahoma" w:hAnsi="Tahoma" w:cs="Tahoma"/>
      <w:sz w:val="16"/>
      <w:szCs w:val="16"/>
    </w:rPr>
  </w:style>
  <w:style w:type="character" w:customStyle="1" w:styleId="BalloonTextChar">
    <w:name w:val="Balloon Text Char"/>
    <w:basedOn w:val="DefaultParagraphFont"/>
    <w:link w:val="BalloonText"/>
    <w:rsid w:val="00DB41A7"/>
    <w:rPr>
      <w:rFonts w:ascii="Tahoma" w:eastAsia="BatangChe" w:hAnsi="Tahoma" w:cs="Tahoma"/>
      <w:sz w:val="16"/>
      <w:szCs w:val="16"/>
    </w:rPr>
  </w:style>
  <w:style w:type="character" w:styleId="SubtleEmphasis">
    <w:name w:val="Subtle Emphasis"/>
    <w:basedOn w:val="DefaultParagraphFont"/>
    <w:uiPriority w:val="19"/>
    <w:qFormat/>
    <w:rsid w:val="00935576"/>
    <w:rPr>
      <w:i/>
      <w:iCs/>
      <w:color w:val="404040" w:themeColor="text1" w:themeTint="BF"/>
    </w:rPr>
  </w:style>
  <w:style w:type="character" w:customStyle="1" w:styleId="Heading1Char">
    <w:name w:val="Heading 1 Char"/>
    <w:basedOn w:val="DefaultParagraphFont"/>
    <w:link w:val="Heading1"/>
    <w:rsid w:val="00A87992"/>
    <w:rPr>
      <w:rFonts w:eastAsia="BatangChe"/>
      <w:b/>
      <w:bCs/>
      <w:sz w:val="24"/>
      <w:szCs w:val="24"/>
      <w:u w:val="single"/>
    </w:rPr>
  </w:style>
  <w:style w:type="character" w:customStyle="1" w:styleId="Heading8Char">
    <w:name w:val="Heading 8 Char"/>
    <w:basedOn w:val="DefaultParagraphFont"/>
    <w:link w:val="Heading8"/>
    <w:rsid w:val="00A87992"/>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T%20Docs\SATRC\SATRC-11\SATRC-1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93CF-D07A-4654-B7A4-7F91E582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SATRC-11 Document Template</Template>
  <TotalTime>3</TotalTime>
  <Pages>8</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Parvez</dc:creator>
  <cp:lastModifiedBy>Forhadul Parvez</cp:lastModifiedBy>
  <cp:revision>5</cp:revision>
  <cp:lastPrinted>2015-08-13T08:55:00Z</cp:lastPrinted>
  <dcterms:created xsi:type="dcterms:W3CDTF">2018-12-15T06:02:00Z</dcterms:created>
  <dcterms:modified xsi:type="dcterms:W3CDTF">2019-08-22T04:02:00Z</dcterms:modified>
</cp:coreProperties>
</file>