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92"/>
        <w:tblW w:w="9746" w:type="dxa"/>
        <w:tblLayout w:type="fixed"/>
        <w:tblCellMar>
          <w:left w:w="107" w:type="dxa"/>
          <w:right w:w="107" w:type="dxa"/>
        </w:tblCellMar>
        <w:tblLook w:val="0000" w:firstRow="0" w:lastRow="0" w:firstColumn="0" w:lastColumn="0" w:noHBand="0" w:noVBand="0"/>
      </w:tblPr>
      <w:tblGrid>
        <w:gridCol w:w="1950"/>
        <w:gridCol w:w="4678"/>
        <w:gridCol w:w="3118"/>
      </w:tblGrid>
      <w:tr w:rsidR="007D63D6" w:rsidTr="00721657">
        <w:trPr>
          <w:cantSplit/>
        </w:trPr>
        <w:tc>
          <w:tcPr>
            <w:tcW w:w="6628" w:type="dxa"/>
            <w:gridSpan w:val="2"/>
          </w:tcPr>
          <w:p w:rsidR="007D63D6" w:rsidRPr="00EF01CF" w:rsidRDefault="007D63D6" w:rsidP="005E3CA0">
            <w:pPr>
              <w:rPr>
                <w:rFonts w:ascii="Verdana" w:hAnsi="Verdana"/>
              </w:rPr>
            </w:pPr>
            <w:r w:rsidRPr="00E00CAA">
              <w:rPr>
                <w:b/>
                <w:bCs/>
                <w:sz w:val="32"/>
                <w:szCs w:val="24"/>
              </w:rPr>
              <w:t>World Telecommunication Development Conference (WTDC-14)</w:t>
            </w:r>
            <w:r w:rsidRPr="00721657">
              <w:br/>
            </w:r>
            <w:r>
              <w:rPr>
                <w:b/>
                <w:bCs/>
              </w:rPr>
              <w:t>Dubai</w:t>
            </w:r>
            <w:r w:rsidRPr="00E00CAA">
              <w:rPr>
                <w:b/>
                <w:bCs/>
              </w:rPr>
              <w:t>, 3</w:t>
            </w:r>
            <w:r>
              <w:rPr>
                <w:b/>
                <w:bCs/>
              </w:rPr>
              <w:t>0</w:t>
            </w:r>
            <w:r w:rsidRPr="00E00CAA">
              <w:rPr>
                <w:b/>
                <w:bCs/>
              </w:rPr>
              <w:t xml:space="preserve"> March – 1</w:t>
            </w:r>
            <w:r>
              <w:rPr>
                <w:b/>
                <w:bCs/>
              </w:rPr>
              <w:t>0</w:t>
            </w:r>
            <w:r w:rsidRPr="00E00CAA">
              <w:rPr>
                <w:b/>
                <w:bCs/>
              </w:rPr>
              <w:t xml:space="preserve"> April 2014</w:t>
            </w:r>
          </w:p>
        </w:tc>
        <w:tc>
          <w:tcPr>
            <w:tcW w:w="3118" w:type="dxa"/>
          </w:tcPr>
          <w:p w:rsidR="007D63D6" w:rsidRDefault="007D63D6" w:rsidP="007D63D6">
            <w:pPr>
              <w:spacing w:before="0" w:after="80"/>
            </w:pPr>
            <w:r>
              <w:rPr>
                <w:noProof/>
                <w:lang w:val="en-US" w:eastAsia="zh-CN"/>
              </w:rPr>
              <w:drawing>
                <wp:inline distT="0" distB="0" distL="0" distR="0" wp14:anchorId="2D8E1FE5" wp14:editId="406A620B">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7D63D6" w:rsidRPr="00997358" w:rsidTr="00721657">
        <w:trPr>
          <w:cantSplit/>
        </w:trPr>
        <w:tc>
          <w:tcPr>
            <w:tcW w:w="9746" w:type="dxa"/>
            <w:gridSpan w:val="3"/>
            <w:tcBorders>
              <w:bottom w:val="single" w:sz="12" w:space="0" w:color="auto"/>
            </w:tcBorders>
            <w:vAlign w:val="center"/>
          </w:tcPr>
          <w:p w:rsidR="007D63D6" w:rsidRPr="00997358" w:rsidRDefault="007D63D6" w:rsidP="007D63D6">
            <w:pPr>
              <w:spacing w:before="0"/>
              <w:rPr>
                <w:b/>
                <w:bCs/>
                <w:sz w:val="20"/>
              </w:rPr>
            </w:pPr>
          </w:p>
        </w:tc>
      </w:tr>
      <w:tr w:rsidR="007D63D6" w:rsidRPr="00997358" w:rsidTr="00721657">
        <w:trPr>
          <w:cantSplit/>
        </w:trPr>
        <w:tc>
          <w:tcPr>
            <w:tcW w:w="6628" w:type="dxa"/>
            <w:gridSpan w:val="2"/>
          </w:tcPr>
          <w:p w:rsidR="007D63D6" w:rsidRPr="00997358" w:rsidRDefault="007D63D6" w:rsidP="007D63D6">
            <w:pPr>
              <w:spacing w:before="0"/>
              <w:rPr>
                <w:rFonts w:cs="Arial"/>
                <w:b/>
                <w:bCs/>
                <w:sz w:val="20"/>
              </w:rPr>
            </w:pPr>
          </w:p>
        </w:tc>
        <w:tc>
          <w:tcPr>
            <w:tcW w:w="3118" w:type="dxa"/>
          </w:tcPr>
          <w:p w:rsidR="007D63D6" w:rsidRPr="00997358" w:rsidRDefault="007D63D6" w:rsidP="007D63D6">
            <w:pPr>
              <w:spacing w:before="0"/>
              <w:rPr>
                <w:b/>
                <w:bCs/>
                <w:sz w:val="20"/>
              </w:rPr>
            </w:pPr>
          </w:p>
        </w:tc>
      </w:tr>
      <w:tr w:rsidR="007D63D6" w:rsidTr="00721657">
        <w:trPr>
          <w:cantSplit/>
        </w:trPr>
        <w:tc>
          <w:tcPr>
            <w:tcW w:w="6628" w:type="dxa"/>
            <w:gridSpan w:val="2"/>
            <w:vMerge w:val="restart"/>
          </w:tcPr>
          <w:p w:rsidR="007D63D6" w:rsidRPr="007D63D6" w:rsidRDefault="007D63D6" w:rsidP="001A163D">
            <w:pPr>
              <w:pStyle w:val="Committee"/>
              <w:rPr>
                <w:b w:val="0"/>
              </w:rPr>
            </w:pPr>
          </w:p>
        </w:tc>
        <w:tc>
          <w:tcPr>
            <w:tcW w:w="3118" w:type="dxa"/>
          </w:tcPr>
          <w:p w:rsidR="00392C02" w:rsidRDefault="00233188" w:rsidP="00392C02">
            <w:pPr>
              <w:spacing w:before="0"/>
              <w:rPr>
                <w:b/>
                <w:bCs/>
              </w:rPr>
            </w:pPr>
            <w:r>
              <w:rPr>
                <w:b/>
                <w:bCs/>
              </w:rPr>
              <w:t>Addendum 10</w:t>
            </w:r>
            <w:r w:rsidR="00392C02">
              <w:rPr>
                <w:b/>
                <w:bCs/>
              </w:rPr>
              <w:t xml:space="preserve"> to</w:t>
            </w:r>
          </w:p>
          <w:p w:rsidR="007D63D6" w:rsidRPr="007D63D6" w:rsidRDefault="007D63D6" w:rsidP="0003535E">
            <w:pPr>
              <w:spacing w:before="0"/>
              <w:rPr>
                <w:bCs/>
              </w:rPr>
            </w:pPr>
            <w:r>
              <w:rPr>
                <w:b/>
                <w:bCs/>
              </w:rPr>
              <w:t xml:space="preserve">Document </w:t>
            </w:r>
            <w:bookmarkStart w:id="0" w:name="DocRef1"/>
            <w:bookmarkEnd w:id="0"/>
            <w:r w:rsidR="002844A5">
              <w:rPr>
                <w:b/>
                <w:bCs/>
              </w:rPr>
              <w:t>WTDC14</w:t>
            </w:r>
            <w:r>
              <w:rPr>
                <w:b/>
                <w:bCs/>
              </w:rPr>
              <w:t>/</w:t>
            </w:r>
            <w:bookmarkStart w:id="1" w:name="DocNo1"/>
            <w:bookmarkEnd w:id="1"/>
            <w:r w:rsidR="004A202B">
              <w:rPr>
                <w:b/>
                <w:bCs/>
              </w:rPr>
              <w:t>41</w:t>
            </w:r>
            <w:r w:rsidR="002844A5">
              <w:rPr>
                <w:b/>
                <w:bCs/>
              </w:rPr>
              <w:t>-E</w:t>
            </w:r>
          </w:p>
        </w:tc>
      </w:tr>
      <w:tr w:rsidR="007D63D6" w:rsidTr="00721657">
        <w:trPr>
          <w:cantSplit/>
        </w:trPr>
        <w:tc>
          <w:tcPr>
            <w:tcW w:w="6628" w:type="dxa"/>
            <w:gridSpan w:val="2"/>
            <w:vMerge/>
          </w:tcPr>
          <w:p w:rsidR="007D63D6" w:rsidRDefault="007D63D6" w:rsidP="00721657">
            <w:pPr>
              <w:spacing w:after="120"/>
              <w:rPr>
                <w:b/>
                <w:bCs/>
                <w:smallCaps/>
              </w:rPr>
            </w:pPr>
          </w:p>
        </w:tc>
        <w:tc>
          <w:tcPr>
            <w:tcW w:w="3118" w:type="dxa"/>
          </w:tcPr>
          <w:p w:rsidR="007D63D6" w:rsidRPr="006D253B" w:rsidRDefault="00ED626D" w:rsidP="00250115">
            <w:pPr>
              <w:spacing w:before="0"/>
              <w:rPr>
                <w:b/>
                <w:bCs/>
              </w:rPr>
            </w:pPr>
            <w:bookmarkStart w:id="2" w:name="CreationDate"/>
            <w:bookmarkEnd w:id="2"/>
            <w:r>
              <w:rPr>
                <w:b/>
                <w:bCs/>
              </w:rPr>
              <w:t>12</w:t>
            </w:r>
            <w:r w:rsidR="004A202B">
              <w:rPr>
                <w:b/>
                <w:bCs/>
              </w:rPr>
              <w:t xml:space="preserve"> Mars</w:t>
            </w:r>
            <w:r w:rsidR="002844A5">
              <w:rPr>
                <w:b/>
                <w:bCs/>
              </w:rPr>
              <w:t xml:space="preserve"> 2014</w:t>
            </w:r>
          </w:p>
        </w:tc>
      </w:tr>
      <w:tr w:rsidR="007D63D6" w:rsidTr="00721657">
        <w:trPr>
          <w:cantSplit/>
        </w:trPr>
        <w:tc>
          <w:tcPr>
            <w:tcW w:w="6628" w:type="dxa"/>
            <w:gridSpan w:val="2"/>
            <w:vMerge/>
          </w:tcPr>
          <w:p w:rsidR="007D63D6" w:rsidRDefault="007D63D6" w:rsidP="00721657">
            <w:pPr>
              <w:spacing w:after="120"/>
              <w:rPr>
                <w:b/>
                <w:bCs/>
                <w:smallCaps/>
              </w:rPr>
            </w:pPr>
          </w:p>
        </w:tc>
        <w:tc>
          <w:tcPr>
            <w:tcW w:w="3118" w:type="dxa"/>
          </w:tcPr>
          <w:p w:rsidR="007D63D6" w:rsidRPr="007D63D6" w:rsidRDefault="007D63D6" w:rsidP="007D63D6">
            <w:pPr>
              <w:spacing w:before="0"/>
            </w:pPr>
            <w:r>
              <w:rPr>
                <w:b/>
              </w:rPr>
              <w:t xml:space="preserve">Original: </w:t>
            </w:r>
            <w:bookmarkStart w:id="3" w:name="Original"/>
            <w:bookmarkEnd w:id="3"/>
            <w:r w:rsidR="002844A5">
              <w:rPr>
                <w:b/>
              </w:rPr>
              <w:t>English</w:t>
            </w:r>
          </w:p>
        </w:tc>
      </w:tr>
      <w:tr w:rsidR="007D63D6" w:rsidRPr="00312AE6" w:rsidTr="00721657">
        <w:trPr>
          <w:cantSplit/>
        </w:trPr>
        <w:tc>
          <w:tcPr>
            <w:tcW w:w="1950" w:type="dxa"/>
          </w:tcPr>
          <w:p w:rsidR="007D63D6" w:rsidRPr="00312AE6" w:rsidRDefault="007D63D6" w:rsidP="00721657">
            <w:pPr>
              <w:pStyle w:val="Source"/>
              <w:rPr>
                <w:rFonts w:ascii="Verdana" w:hAnsi="Verdana"/>
                <w:bCs/>
                <w:sz w:val="20"/>
              </w:rPr>
            </w:pPr>
          </w:p>
        </w:tc>
        <w:tc>
          <w:tcPr>
            <w:tcW w:w="7796" w:type="dxa"/>
            <w:gridSpan w:val="2"/>
          </w:tcPr>
          <w:p w:rsidR="007D63D6" w:rsidRPr="00312AE6" w:rsidRDefault="007D63D6" w:rsidP="00721657">
            <w:pPr>
              <w:pStyle w:val="Source"/>
              <w:rPr>
                <w:sz w:val="20"/>
              </w:rPr>
            </w:pPr>
          </w:p>
        </w:tc>
      </w:tr>
      <w:tr w:rsidR="007D63D6" w:rsidTr="00721657">
        <w:trPr>
          <w:cantSplit/>
        </w:trPr>
        <w:tc>
          <w:tcPr>
            <w:tcW w:w="1950" w:type="dxa"/>
          </w:tcPr>
          <w:p w:rsidR="007D63D6" w:rsidRPr="009F3EB2" w:rsidRDefault="007D63D6" w:rsidP="001A163D">
            <w:pPr>
              <w:pStyle w:val="Source"/>
            </w:pPr>
            <w:r w:rsidRPr="009F3EB2">
              <w:t>SOURCE:</w:t>
            </w:r>
          </w:p>
        </w:tc>
        <w:tc>
          <w:tcPr>
            <w:tcW w:w="7796" w:type="dxa"/>
            <w:gridSpan w:val="2"/>
          </w:tcPr>
          <w:p w:rsidR="007D63D6" w:rsidRPr="0072205B" w:rsidRDefault="0072205B" w:rsidP="0072205B">
            <w:pPr>
              <w:pStyle w:val="Source"/>
              <w:rPr>
                <w:b w:val="0"/>
                <w:szCs w:val="24"/>
              </w:rPr>
            </w:pPr>
            <w:bookmarkStart w:id="4" w:name="Source"/>
            <w:bookmarkEnd w:id="4"/>
            <w:r w:rsidRPr="0072205B">
              <w:rPr>
                <w:b w:val="0"/>
                <w:szCs w:val="24"/>
              </w:rPr>
              <w:t xml:space="preserve">Member States of the </w:t>
            </w:r>
            <w:r w:rsidR="004A202B" w:rsidRPr="004A202B">
              <w:rPr>
                <w:b w:val="0"/>
                <w:szCs w:val="24"/>
              </w:rPr>
              <w:t>European Conference of Postal and Telecommunications Administrations</w:t>
            </w:r>
            <w:r w:rsidR="0023627B">
              <w:rPr>
                <w:b w:val="0"/>
                <w:szCs w:val="24"/>
              </w:rPr>
              <w:t xml:space="preserve">, </w:t>
            </w:r>
            <w:r w:rsidR="004C731A">
              <w:rPr>
                <w:b w:val="0"/>
                <w:szCs w:val="24"/>
              </w:rPr>
              <w:t>(</w:t>
            </w:r>
            <w:r w:rsidR="0023627B">
              <w:rPr>
                <w:b w:val="0"/>
                <w:szCs w:val="24"/>
              </w:rPr>
              <w:t>CEPT</w:t>
            </w:r>
            <w:r w:rsidR="004C731A">
              <w:rPr>
                <w:b w:val="0"/>
                <w:szCs w:val="24"/>
              </w:rPr>
              <w:t>)</w:t>
            </w:r>
            <w:r w:rsidR="0023627B">
              <w:rPr>
                <w:b w:val="0"/>
                <w:szCs w:val="24"/>
              </w:rPr>
              <w:t xml:space="preserve"> </w:t>
            </w:r>
            <w:r w:rsidR="004C731A" w:rsidRPr="0072205B">
              <w:rPr>
                <w:b w:val="0"/>
                <w:szCs w:val="24"/>
              </w:rPr>
              <w:t>(see Annex 1 to Document WTDC</w:t>
            </w:r>
            <w:r w:rsidR="004C731A">
              <w:rPr>
                <w:b w:val="0"/>
                <w:szCs w:val="24"/>
              </w:rPr>
              <w:t>14</w:t>
            </w:r>
            <w:r w:rsidR="004C731A" w:rsidRPr="0072205B">
              <w:rPr>
                <w:b w:val="0"/>
                <w:szCs w:val="24"/>
              </w:rPr>
              <w:t>/</w:t>
            </w:r>
            <w:r w:rsidR="004C731A">
              <w:rPr>
                <w:b w:val="0"/>
                <w:szCs w:val="24"/>
              </w:rPr>
              <w:t>41</w:t>
            </w:r>
            <w:r w:rsidR="004C731A" w:rsidRPr="0072205B">
              <w:rPr>
                <w:b w:val="0"/>
                <w:szCs w:val="24"/>
              </w:rPr>
              <w:t>)</w:t>
            </w:r>
          </w:p>
        </w:tc>
      </w:tr>
      <w:tr w:rsidR="007D63D6" w:rsidTr="00721657">
        <w:trPr>
          <w:cantSplit/>
        </w:trPr>
        <w:tc>
          <w:tcPr>
            <w:tcW w:w="1950" w:type="dxa"/>
          </w:tcPr>
          <w:p w:rsidR="007D63D6" w:rsidRPr="001A163D" w:rsidRDefault="007D63D6" w:rsidP="001A163D">
            <w:pPr>
              <w:pStyle w:val="Source"/>
            </w:pPr>
            <w:r w:rsidRPr="001A163D">
              <w:t>TITLE:</w:t>
            </w:r>
          </w:p>
        </w:tc>
        <w:tc>
          <w:tcPr>
            <w:tcW w:w="7796" w:type="dxa"/>
            <w:gridSpan w:val="2"/>
          </w:tcPr>
          <w:p w:rsidR="007D63D6" w:rsidRPr="00A33A4D" w:rsidRDefault="00233188" w:rsidP="00695A81">
            <w:pPr>
              <w:rPr>
                <w:bCs/>
                <w:szCs w:val="24"/>
              </w:rPr>
            </w:pPr>
            <w:bookmarkStart w:id="5" w:name="Title"/>
            <w:bookmarkEnd w:id="5"/>
            <w:r>
              <w:t>Proposed resolution on countering Number Misappropriation that complements WTSA</w:t>
            </w:r>
            <w:r w:rsidR="00695A81">
              <w:t>-12</w:t>
            </w:r>
            <w:r>
              <w:t xml:space="preserve"> Resolution 61</w:t>
            </w:r>
          </w:p>
        </w:tc>
      </w:tr>
    </w:tbl>
    <w:p w:rsidR="00097183" w:rsidRPr="00097183" w:rsidRDefault="00097183" w:rsidP="00097183">
      <w:pPr>
        <w:rPr>
          <w:rFonts w:cstheme="minorHAnsi"/>
          <w:szCs w:val="24"/>
        </w:rPr>
      </w:pPr>
      <w:bookmarkStart w:id="6" w:name="ProposalNo1"/>
      <w:bookmarkEnd w:id="6"/>
    </w:p>
    <w:p w:rsidR="00D72D22" w:rsidRDefault="00D72D22" w:rsidP="00ED626D">
      <w:pPr>
        <w:pStyle w:val="Heading1"/>
      </w:pPr>
      <w:bookmarkStart w:id="7" w:name="DIAP19"/>
      <w:bookmarkEnd w:id="7"/>
      <w:r w:rsidRPr="00ED626D">
        <w:t>Introduction</w:t>
      </w:r>
    </w:p>
    <w:p w:rsidR="00695A81" w:rsidRDefault="009A7A1A" w:rsidP="009A7A1A">
      <w:r>
        <w:t xml:space="preserve">This is a proposal from CEPT for a WTDC </w:t>
      </w:r>
      <w:r w:rsidR="00695A81">
        <w:t>resolution on countering Number</w:t>
      </w:r>
      <w:r>
        <w:t xml:space="preserve"> Misappropriation that complements WTSA</w:t>
      </w:r>
      <w:r w:rsidR="00695A81">
        <w:t>-12</w:t>
      </w:r>
      <w:r>
        <w:t xml:space="preserve"> Resolution 61.</w:t>
      </w:r>
    </w:p>
    <w:tbl>
      <w:tblPr>
        <w:tblStyle w:val="TableGrid"/>
        <w:tblW w:w="0" w:type="auto"/>
        <w:tblLook w:val="04A0" w:firstRow="1" w:lastRow="0" w:firstColumn="1" w:lastColumn="0" w:noHBand="0" w:noVBand="1"/>
      </w:tblPr>
      <w:tblGrid>
        <w:gridCol w:w="1951"/>
        <w:gridCol w:w="7904"/>
      </w:tblGrid>
      <w:tr w:rsidR="00F66371" w:rsidRPr="001D69F5" w:rsidTr="000C38E4">
        <w:tc>
          <w:tcPr>
            <w:tcW w:w="1951" w:type="dxa"/>
            <w:tcBorders>
              <w:top w:val="nil"/>
              <w:left w:val="nil"/>
              <w:bottom w:val="nil"/>
              <w:right w:val="nil"/>
            </w:tcBorders>
          </w:tcPr>
          <w:p w:rsidR="00F66371" w:rsidRPr="001D69F5" w:rsidRDefault="00F66371" w:rsidP="000C38E4">
            <w:pPr>
              <w:keepNext/>
              <w:spacing w:after="120"/>
              <w:rPr>
                <w:rFonts w:cstheme="minorHAnsi"/>
                <w:b/>
                <w:bCs/>
                <w:szCs w:val="24"/>
              </w:rPr>
            </w:pPr>
            <w:r>
              <w:rPr>
                <w:rFonts w:cstheme="minorHAnsi"/>
                <w:b/>
                <w:bCs/>
                <w:szCs w:val="24"/>
              </w:rPr>
              <w:t>ECP</w:t>
            </w:r>
            <w:r w:rsidRPr="001D69F5">
              <w:rPr>
                <w:rFonts w:cstheme="minorHAnsi"/>
                <w:b/>
                <w:bCs/>
                <w:szCs w:val="24"/>
              </w:rPr>
              <w:t>/41/</w:t>
            </w:r>
            <w:r>
              <w:rPr>
                <w:rFonts w:cstheme="minorHAnsi"/>
                <w:b/>
                <w:bCs/>
                <w:szCs w:val="24"/>
              </w:rPr>
              <w:t>10</w:t>
            </w:r>
          </w:p>
        </w:tc>
        <w:tc>
          <w:tcPr>
            <w:tcW w:w="7904" w:type="dxa"/>
            <w:tcBorders>
              <w:top w:val="nil"/>
              <w:left w:val="nil"/>
              <w:bottom w:val="nil"/>
              <w:right w:val="nil"/>
            </w:tcBorders>
          </w:tcPr>
          <w:p w:rsidR="00F66371" w:rsidRPr="001D69F5" w:rsidRDefault="00F66371" w:rsidP="000C38E4">
            <w:pPr>
              <w:keepNext/>
              <w:spacing w:after="120"/>
              <w:rPr>
                <w:rFonts w:cstheme="minorHAnsi"/>
                <w:szCs w:val="24"/>
              </w:rPr>
            </w:pPr>
            <w:r w:rsidRPr="001D69F5">
              <w:rPr>
                <w:rFonts w:cstheme="minorHAnsi"/>
                <w:szCs w:val="24"/>
              </w:rPr>
              <w:t xml:space="preserve">Objective(s): </w:t>
            </w:r>
            <w:bookmarkStart w:id="8" w:name="Obj1"/>
            <w:bookmarkEnd w:id="8"/>
            <w:r>
              <w:rPr>
                <w:rFonts w:cstheme="minorHAnsi"/>
                <w:szCs w:val="24"/>
              </w:rPr>
              <w:t>4</w:t>
            </w:r>
          </w:p>
        </w:tc>
      </w:tr>
    </w:tbl>
    <w:p w:rsidR="00F66371" w:rsidRDefault="00F66371" w:rsidP="009A7A1A"/>
    <w:p w:rsidR="00F66371" w:rsidRDefault="00F66371" w:rsidP="009A7A1A"/>
    <w:p w:rsidR="009A7A1A" w:rsidRDefault="009A7A1A" w:rsidP="009A7A1A">
      <w:pPr>
        <w:rPr>
          <w:rFonts w:cs="Arial"/>
        </w:rPr>
      </w:pPr>
      <w:r>
        <w:rPr>
          <w:rFonts w:cs="Arial"/>
        </w:rPr>
        <w:br w:type="page"/>
      </w:r>
    </w:p>
    <w:p w:rsidR="009A7A1A" w:rsidRDefault="009A7A1A" w:rsidP="009A7A1A">
      <w:pPr>
        <w:pStyle w:val="ResNo"/>
      </w:pPr>
      <w:r>
        <w:t>RESOLUTION xx (Dubai</w:t>
      </w:r>
      <w:r w:rsidR="00695A81">
        <w:t>,</w:t>
      </w:r>
      <w:r>
        <w:t xml:space="preserve"> 2014)</w:t>
      </w:r>
    </w:p>
    <w:p w:rsidR="009A7A1A" w:rsidRDefault="009A7A1A" w:rsidP="009A7A1A">
      <w:pPr>
        <w:pStyle w:val="Restitle"/>
      </w:pPr>
      <w:r>
        <w:t xml:space="preserve">Capacity building for countering misappropriation of Recommendation ITU-T E.164 telephone numbers </w:t>
      </w:r>
    </w:p>
    <w:p w:rsidR="009A7A1A" w:rsidRDefault="009A7A1A" w:rsidP="009A7A1A">
      <w:pPr>
        <w:rPr>
          <w:rFonts w:cs="TimesNewRoman"/>
        </w:rPr>
      </w:pPr>
    </w:p>
    <w:p w:rsidR="009A7A1A" w:rsidRDefault="009A7A1A" w:rsidP="00695A81">
      <w:pPr>
        <w:pStyle w:val="Normalaftertitle"/>
      </w:pPr>
      <w:r w:rsidRPr="005B2361">
        <w:t>The World Telecommunication Development Conference (Dubai</w:t>
      </w:r>
      <w:r w:rsidR="00695A81">
        <w:t>,</w:t>
      </w:r>
      <w:r w:rsidRPr="005B2361">
        <w:t xml:space="preserve"> 2014)</w:t>
      </w:r>
      <w:r>
        <w:t>,</w:t>
      </w:r>
    </w:p>
    <w:p w:rsidR="009A7A1A" w:rsidRDefault="00695A81" w:rsidP="00695A81">
      <w:pPr>
        <w:pStyle w:val="Call"/>
      </w:pPr>
      <w:r>
        <w:t>c</w:t>
      </w:r>
      <w:r w:rsidR="009A7A1A">
        <w:t>onsidering</w:t>
      </w:r>
    </w:p>
    <w:p w:rsidR="009A7A1A" w:rsidRDefault="00695A81" w:rsidP="00695A81">
      <w:r>
        <w:t>a)</w:t>
      </w:r>
      <w:r>
        <w:tab/>
      </w:r>
      <w:r w:rsidR="009A7A1A">
        <w:t xml:space="preserve">the provisions of the ITU Constitution, as contained in Chapter IV thereof on the Telecommunication Development Sector (ITU-D), particularly with regard, </w:t>
      </w:r>
      <w:r w:rsidR="009A7A1A">
        <w:rPr>
          <w:rFonts w:cs="TimesNewRoman,Italic"/>
          <w:i/>
          <w:iCs/>
        </w:rPr>
        <w:t>inter alia</w:t>
      </w:r>
      <w:r w:rsidR="009A7A1A">
        <w:t>, to the functions of the ITU-D for building awareness of the impact of telecommunications/information and communication technologies (ICTs) on national economic and social development, its catalytic role in promoting the development, expansion and operation of telecommunication services and networks, especially in developing countries, and the need to maintain and enhance cooperation with regional and other telecommunication organizations;</w:t>
      </w:r>
    </w:p>
    <w:p w:rsidR="009A7A1A" w:rsidRDefault="009A7A1A" w:rsidP="00695A81">
      <w:pPr>
        <w:pStyle w:val="Call"/>
      </w:pPr>
      <w:r>
        <w:t>considering further</w:t>
      </w:r>
    </w:p>
    <w:p w:rsidR="009A7A1A" w:rsidRDefault="00695A81" w:rsidP="00695A81">
      <w:r>
        <w:t>a)</w:t>
      </w:r>
      <w:r>
        <w:tab/>
      </w:r>
      <w:r w:rsidR="009A7A1A">
        <w:t xml:space="preserve">Resolution 22 (Rev. Hyderabad 2010) of the World Telecommunication Development Conference on alternative calling procedures on international telecommunication networks, identification of origin and apportionment of revenues in providing international telecommunication services; </w:t>
      </w:r>
    </w:p>
    <w:p w:rsidR="009A7A1A" w:rsidRDefault="00695A81" w:rsidP="00695A81">
      <w:r>
        <w:t>b)</w:t>
      </w:r>
      <w:r>
        <w:tab/>
      </w:r>
      <w:r w:rsidR="009A7A1A">
        <w:t>the resolutions from previous WTDC’s to countries in special need</w:t>
      </w:r>
      <w:r>
        <w:t>;</w:t>
      </w:r>
    </w:p>
    <w:p w:rsidR="009A7A1A" w:rsidRDefault="00695A81" w:rsidP="00695A81">
      <w:r>
        <w:t>c)</w:t>
      </w:r>
      <w:r>
        <w:tab/>
      </w:r>
      <w:r w:rsidR="009A7A1A">
        <w:t>the work done to-date in the ITU-D to assist countries to understand and to counter Recommendation ITU-T E.164 Telephone Numbering Misappropriation, through ITU-D programmes, activities and projects,</w:t>
      </w:r>
    </w:p>
    <w:p w:rsidR="009A7A1A" w:rsidRPr="009A7A1A" w:rsidRDefault="009A7A1A" w:rsidP="00695A81">
      <w:pPr>
        <w:pStyle w:val="Call"/>
      </w:pPr>
      <w:r w:rsidRPr="009A7A1A">
        <w:t>noting</w:t>
      </w:r>
    </w:p>
    <w:p w:rsidR="009A7A1A" w:rsidRDefault="00695A81" w:rsidP="00695A81">
      <w:r>
        <w:t>a)</w:t>
      </w:r>
      <w:r>
        <w:tab/>
      </w:r>
      <w:r w:rsidR="009A7A1A" w:rsidRPr="009A7A1A">
        <w:t>that member States are responsible for managing numbering resources behind country codes assigned to the</w:t>
      </w:r>
      <w:r>
        <w:t>m by Recommendation ITU-T E.164;</w:t>
      </w:r>
    </w:p>
    <w:p w:rsidR="000D3D85" w:rsidRDefault="000D3D85" w:rsidP="009C103C">
      <w:pPr>
        <w:rPr>
          <w:rFonts w:cs="TimesNewRoman"/>
        </w:rPr>
      </w:pPr>
      <w:r>
        <w:rPr>
          <w:rFonts w:cs="TimesNewRoman"/>
          <w:i/>
          <w:highlight w:val="yellow"/>
        </w:rPr>
        <w:t>b</w:t>
      </w:r>
      <w:r w:rsidRPr="000D3D85">
        <w:rPr>
          <w:rFonts w:cs="TimesNewRoman"/>
          <w:i/>
          <w:highlight w:val="yellow"/>
        </w:rPr>
        <w:t>)</w:t>
      </w:r>
      <w:r w:rsidRPr="000D3D85">
        <w:rPr>
          <w:rFonts w:cs="TimesNewRoman"/>
          <w:i/>
          <w:highlight w:val="yellow"/>
        </w:rPr>
        <w:tab/>
      </w:r>
      <w:r w:rsidRPr="000D3D85">
        <w:rPr>
          <w:highlight w:val="yellow"/>
        </w:rPr>
        <w:t>that many Member States have been significantly and adversely impacted by Telephone Number Misappropriation particularly developing countries;</w:t>
      </w:r>
      <w:r>
        <w:t xml:space="preserve"> [</w:t>
      </w:r>
      <w:r w:rsidRPr="000D3D85">
        <w:rPr>
          <w:highlight w:val="magenta"/>
        </w:rPr>
        <w:t xml:space="preserve">from ‘noting a]’ from Doc </w:t>
      </w:r>
      <w:r w:rsidR="009C103C">
        <w:rPr>
          <w:highlight w:val="magenta"/>
        </w:rPr>
        <w:t>37Add2</w:t>
      </w:r>
      <w:r w:rsidRPr="000D3D85">
        <w:rPr>
          <w:highlight w:val="magenta"/>
        </w:rPr>
        <w:t>]</w:t>
      </w:r>
    </w:p>
    <w:p w:rsidR="000D3D85" w:rsidRDefault="000D3D85" w:rsidP="00695A81"/>
    <w:p w:rsidR="009A7A1A" w:rsidRPr="009A7A1A" w:rsidRDefault="000D3D85" w:rsidP="00695A81">
      <w:r w:rsidRPr="000D3D85">
        <w:rPr>
          <w:rFonts w:cs="TimesNewRoman"/>
          <w:highlight w:val="yellow"/>
        </w:rPr>
        <w:t>c</w:t>
      </w:r>
      <w:r w:rsidR="00695A81" w:rsidRPr="000D3D85">
        <w:rPr>
          <w:rFonts w:cs="TimesNewRoman"/>
          <w:highlight w:val="yellow"/>
        </w:rPr>
        <w:t>)</w:t>
      </w:r>
      <w:r w:rsidR="00695A81">
        <w:rPr>
          <w:rFonts w:cs="TimesNewRoman"/>
        </w:rPr>
        <w:tab/>
      </w:r>
      <w:r w:rsidR="009A7A1A" w:rsidRPr="009A7A1A">
        <w:rPr>
          <w:rFonts w:cs="TimesNewRoman"/>
        </w:rPr>
        <w:t xml:space="preserve">that many Operating Agencies have been significantly and adversely impacted by </w:t>
      </w:r>
      <w:r>
        <w:rPr>
          <w:rFonts w:cs="TimesNewRoman"/>
        </w:rPr>
        <w:t xml:space="preserve"> </w:t>
      </w:r>
      <w:r w:rsidR="009A7A1A" w:rsidRPr="009A7A1A">
        <w:rPr>
          <w:rFonts w:cs="TimesNewRoman"/>
        </w:rPr>
        <w:t xml:space="preserve">Telephone Number Misappropriation; </w:t>
      </w:r>
    </w:p>
    <w:p w:rsidR="009A7A1A" w:rsidRPr="009A7A1A" w:rsidRDefault="000D3D85" w:rsidP="00695A81">
      <w:r w:rsidRPr="000D3D85">
        <w:rPr>
          <w:rFonts w:cs="TimesNewRoman"/>
          <w:highlight w:val="yellow"/>
        </w:rPr>
        <w:t>d</w:t>
      </w:r>
      <w:r w:rsidR="00695A81" w:rsidRPr="000D3D85">
        <w:rPr>
          <w:rFonts w:cs="TimesNewRoman"/>
          <w:highlight w:val="yellow"/>
        </w:rPr>
        <w:t>)</w:t>
      </w:r>
      <w:r w:rsidR="00695A81">
        <w:rPr>
          <w:rFonts w:cs="TimesNewRoman"/>
        </w:rPr>
        <w:tab/>
      </w:r>
      <w:r w:rsidR="009A7A1A" w:rsidRPr="009A7A1A">
        <w:rPr>
          <w:rFonts w:cs="TimesNewRoman"/>
        </w:rPr>
        <w:t xml:space="preserve">Resolution 61 (Rev. Dubai, 2012) of the World Telecommunication Standardisation Assembly on </w:t>
      </w:r>
      <w:r w:rsidR="00695A81">
        <w:rPr>
          <w:rFonts w:cs="TimesNewRoman"/>
        </w:rPr>
        <w:t>C</w:t>
      </w:r>
      <w:r w:rsidR="009A7A1A" w:rsidRPr="009A7A1A">
        <w:rPr>
          <w:rFonts w:cs="TimesNewRoman"/>
        </w:rPr>
        <w:t>ountering and combatting misappropriation and misuse of international telecommunication numbering resources;</w:t>
      </w:r>
    </w:p>
    <w:p w:rsidR="009A7A1A" w:rsidRPr="009A7A1A" w:rsidRDefault="000D3D85" w:rsidP="00695A81">
      <w:r w:rsidRPr="000D3D85">
        <w:rPr>
          <w:rFonts w:cs="TimesNewRoman"/>
          <w:highlight w:val="yellow"/>
        </w:rPr>
        <w:t>e</w:t>
      </w:r>
      <w:r w:rsidR="00695A81" w:rsidRPr="000D3D85">
        <w:rPr>
          <w:rFonts w:cs="TimesNewRoman"/>
          <w:highlight w:val="yellow"/>
        </w:rPr>
        <w:t>)</w:t>
      </w:r>
      <w:r w:rsidR="00695A81">
        <w:rPr>
          <w:rFonts w:cs="TimesNewRoman"/>
        </w:rPr>
        <w:tab/>
      </w:r>
      <w:r w:rsidR="009A7A1A" w:rsidRPr="009A7A1A">
        <w:rPr>
          <w:rFonts w:cs="TimesNewRoman"/>
        </w:rPr>
        <w:t>Recommendation ITU-T E.156, which sets out guidelines for ITU-T action on reported misuse of ITU-T E.164 numbers, and Supplement 1 to Recommendation ITU-T E.156, which provides a best practice guide on countering misuse of ITU-T E.164 numbering resources,</w:t>
      </w:r>
    </w:p>
    <w:p w:rsidR="009A7A1A" w:rsidRPr="009A7A1A" w:rsidRDefault="009A7A1A" w:rsidP="00695A81">
      <w:pPr>
        <w:pStyle w:val="Call"/>
      </w:pPr>
      <w:r w:rsidRPr="009A7A1A">
        <w:t>recognising</w:t>
      </w:r>
    </w:p>
    <w:p w:rsidR="009A7A1A" w:rsidRPr="008D1EF6" w:rsidRDefault="00695A81" w:rsidP="00695A81">
      <w:r>
        <w:t>a)</w:t>
      </w:r>
      <w:r>
        <w:tab/>
      </w:r>
      <w:r w:rsidR="009A7A1A" w:rsidRPr="008D1EF6">
        <w:t>Programme 2 of the Hyderabad Action Plan (HAP) on the enabling environment, including the following priority areas:</w:t>
      </w:r>
    </w:p>
    <w:p w:rsidR="009A7A1A" w:rsidRDefault="00695A81" w:rsidP="00695A81">
      <w:pPr>
        <w:ind w:left="794" w:hanging="794"/>
      </w:pPr>
      <w:r>
        <w:t>i.</w:t>
      </w:r>
      <w:r>
        <w:tab/>
      </w:r>
      <w:r w:rsidR="009A7A1A" w:rsidRPr="008D1EF6">
        <w:t>assistance to develop national strategies, policies, plans, regulations and economic and financial mechanisms on topics including telephone numbering;</w:t>
      </w:r>
    </w:p>
    <w:p w:rsidR="009A7A1A" w:rsidRPr="008D1EF6" w:rsidRDefault="00695A81" w:rsidP="00695A81">
      <w:pPr>
        <w:ind w:left="794" w:hanging="794"/>
      </w:pPr>
      <w:r>
        <w:t>ii.</w:t>
      </w:r>
      <w:r>
        <w:tab/>
      </w:r>
      <w:r w:rsidR="009A7A1A" w:rsidRPr="008D1EF6">
        <w:t>forums for information discussion and exchange;</w:t>
      </w:r>
    </w:p>
    <w:p w:rsidR="009A7A1A" w:rsidRPr="008D1EF6" w:rsidRDefault="00695A81" w:rsidP="00695A81">
      <w:pPr>
        <w:ind w:left="794" w:hanging="794"/>
      </w:pPr>
      <w:r>
        <w:t>iii.</w:t>
      </w:r>
      <w:r>
        <w:tab/>
      </w:r>
      <w:r w:rsidR="009A7A1A" w:rsidRPr="008D1EF6">
        <w:t>development of tools and increased knowledge and know-how;</w:t>
      </w:r>
    </w:p>
    <w:p w:rsidR="009A7A1A" w:rsidRPr="008D1EF6" w:rsidRDefault="00695A81" w:rsidP="00695A81">
      <w:r>
        <w:t>b)</w:t>
      </w:r>
      <w:r>
        <w:tab/>
      </w:r>
      <w:r w:rsidR="009A7A1A" w:rsidRPr="008D1EF6">
        <w:t>the immediate needs of Small Island Development States (SIDS) and specific regions or sub</w:t>
      </w:r>
      <w:r w:rsidR="009A7A1A" w:rsidRPr="008D1EF6">
        <w:noBreakHyphen/>
        <w:t xml:space="preserve">regions, such as the Pacific Islands, to counter telephone number misappropriation, </w:t>
      </w:r>
    </w:p>
    <w:p w:rsidR="009A7A1A" w:rsidRPr="009A7A1A" w:rsidRDefault="009A7A1A" w:rsidP="00695A81">
      <w:pPr>
        <w:pStyle w:val="Call"/>
      </w:pPr>
      <w:r w:rsidRPr="009A7A1A">
        <w:t>further recognizing</w:t>
      </w:r>
    </w:p>
    <w:p w:rsidR="009A7A1A" w:rsidRPr="008D1EF6" w:rsidRDefault="00695A81" w:rsidP="00695A81">
      <w:r>
        <w:t>a)</w:t>
      </w:r>
      <w:r>
        <w:tab/>
      </w:r>
      <w:r w:rsidR="009A7A1A" w:rsidRPr="008D1EF6">
        <w:t>that there is a need to counter and combat Misappropriation and Misuse of International Telecommunication Numbering Resources assigned in accordance with Recommendation ITU-T E.164;</w:t>
      </w:r>
    </w:p>
    <w:p w:rsidR="009A7A1A" w:rsidRPr="008D1EF6" w:rsidRDefault="00695A81" w:rsidP="00695A81">
      <w:r>
        <w:t>b)</w:t>
      </w:r>
      <w:r>
        <w:tab/>
      </w:r>
      <w:r w:rsidR="009A7A1A" w:rsidRPr="008D1EF6">
        <w:t>that the allocation of global telephone numbering resources is managed and allocated by the Director of the Telecommunication Standardization Bureau (TSB) in accordance with ITU-T Recommendations;</w:t>
      </w:r>
    </w:p>
    <w:p w:rsidR="009A7A1A" w:rsidRPr="008D1EF6" w:rsidRDefault="00695A81" w:rsidP="00695A81">
      <w:r>
        <w:t>c)</w:t>
      </w:r>
      <w:r>
        <w:tab/>
      </w:r>
      <w:r w:rsidR="009A7A1A" w:rsidRPr="008D1EF6">
        <w:t>that the management and allocation of national telephone numbering resources is the responsibility of Member States, and that such management is their sovereign right and reflected in national regulatory and legal frameworks;</w:t>
      </w:r>
    </w:p>
    <w:p w:rsidR="009A7A1A" w:rsidRPr="008D1EF6" w:rsidRDefault="00695A81" w:rsidP="00695A81">
      <w:r>
        <w:t>d)</w:t>
      </w:r>
      <w:r>
        <w:tab/>
      </w:r>
      <w:r w:rsidR="009A7A1A" w:rsidRPr="008D1EF6">
        <w:t xml:space="preserve">that differences exist between Member States in their approach to managing their national telephone numbering resources; </w:t>
      </w:r>
    </w:p>
    <w:p w:rsidR="009A7A1A" w:rsidRPr="008D1EF6" w:rsidRDefault="00695A81" w:rsidP="00695A81">
      <w:r>
        <w:t>e)</w:t>
      </w:r>
      <w:r>
        <w:tab/>
      </w:r>
      <w:r w:rsidR="009A7A1A" w:rsidRPr="008D1EF6">
        <w:t>that Member States have the right to assign rules</w:t>
      </w:r>
      <w:r w:rsidR="00B96A15">
        <w:t xml:space="preserve">, </w:t>
      </w:r>
      <w:r w:rsidR="009A7A1A" w:rsidRPr="008D1EF6">
        <w:t xml:space="preserve"> to the parties to whom they allocate telephone numbering resources</w:t>
      </w:r>
      <w:r w:rsidR="009A7A1A" w:rsidRPr="00B96A15">
        <w:rPr>
          <w:strike/>
          <w:highlight w:val="yellow"/>
        </w:rPr>
        <w:t xml:space="preserve">; </w:t>
      </w:r>
      <w:r w:rsidR="00B96A15" w:rsidRPr="00B96A15">
        <w:rPr>
          <w:strike/>
          <w:highlight w:val="yellow"/>
        </w:rPr>
        <w:t xml:space="preserve"> , </w:t>
      </w:r>
      <w:r w:rsidR="00B96A15" w:rsidRPr="00B96A15">
        <w:rPr>
          <w:highlight w:val="yellow"/>
        </w:rPr>
        <w:t>for example through National Numbering Plan Authorities;</w:t>
      </w:r>
      <w:r w:rsidR="00B96A15">
        <w:t xml:space="preserve"> </w:t>
      </w:r>
      <w:r w:rsidR="00B96A15" w:rsidRPr="00B96A15">
        <w:rPr>
          <w:highlight w:val="magenta"/>
        </w:rPr>
        <w:t xml:space="preserve">[from </w:t>
      </w:r>
      <w:r w:rsidR="00B96A15" w:rsidRPr="00B96A15">
        <w:rPr>
          <w:i/>
          <w:iCs/>
          <w:highlight w:val="magenta"/>
        </w:rPr>
        <w:t>recognizing e</w:t>
      </w:r>
      <w:r w:rsidR="00B96A15" w:rsidRPr="00B96A15">
        <w:rPr>
          <w:highlight w:val="magenta"/>
        </w:rPr>
        <w:t xml:space="preserve"> in Doc 37Add.2]</w:t>
      </w:r>
    </w:p>
    <w:p w:rsidR="009A7A1A" w:rsidRPr="008D1EF6" w:rsidRDefault="00695A81" w:rsidP="00695A81">
      <w:r>
        <w:t>f)</w:t>
      </w:r>
      <w:r>
        <w:tab/>
      </w:r>
      <w:r w:rsidR="009A7A1A" w:rsidRPr="008D1EF6">
        <w:t>that Operating Agencies must act in accordance with all applicable national regulatory and legal frameworks of the Member State in which the number is being used;</w:t>
      </w:r>
    </w:p>
    <w:p w:rsidR="009A7A1A" w:rsidRDefault="009A7A1A" w:rsidP="00695A81">
      <w:pPr>
        <w:pStyle w:val="Call"/>
      </w:pPr>
      <w:r w:rsidRPr="009A7A1A">
        <w:t xml:space="preserve">requests the Director of Telecommunication Development Bureau   </w:t>
      </w:r>
    </w:p>
    <w:p w:rsidR="008B118D" w:rsidRDefault="008B118D" w:rsidP="008B118D">
      <w:r w:rsidRPr="008B118D">
        <w:rPr>
          <w:highlight w:val="yellow"/>
        </w:rPr>
        <w:t>1</w:t>
      </w:r>
      <w:r w:rsidRPr="008B118D">
        <w:rPr>
          <w:highlight w:val="yellow"/>
        </w:rPr>
        <w:tab/>
        <w:t xml:space="preserve">to publish, identify, promote and use the </w:t>
      </w:r>
      <w:r w:rsidRPr="008B118D">
        <w:rPr>
          <w:strike/>
          <w:highlight w:val="yellow"/>
        </w:rPr>
        <w:t>reports</w:t>
      </w:r>
      <w:r w:rsidRPr="008B118D">
        <w:rPr>
          <w:highlight w:val="yellow"/>
        </w:rPr>
        <w:t xml:space="preserve"> </w:t>
      </w:r>
      <w:r>
        <w:rPr>
          <w:highlight w:val="yellow"/>
        </w:rPr>
        <w:t xml:space="preserve"> </w:t>
      </w:r>
      <w:r w:rsidRPr="008B118D">
        <w:rPr>
          <w:highlight w:val="cyan"/>
        </w:rPr>
        <w:t xml:space="preserve">documents and research </w:t>
      </w:r>
      <w:r w:rsidRPr="008B118D">
        <w:rPr>
          <w:highlight w:val="yellow"/>
        </w:rPr>
        <w:t>produced thus far as a template of future activity in order to allow a consistent identification of the issues and to combat E.164 Telephone Number Misappropriation;</w:t>
      </w:r>
      <w:r>
        <w:t xml:space="preserve"> [</w:t>
      </w:r>
      <w:r w:rsidRPr="008B118D">
        <w:rPr>
          <w:highlight w:val="magenta"/>
        </w:rPr>
        <w:t>from Doc 37Add.2 para 1 of ‘requests the Director</w:t>
      </w:r>
      <w:r>
        <w:rPr>
          <w:highlight w:val="magenta"/>
        </w:rPr>
        <w:t>, except ‘documents and research’ to replace ‘reports’</w:t>
      </w:r>
      <w:r w:rsidRPr="008B118D">
        <w:rPr>
          <w:highlight w:val="magenta"/>
        </w:rPr>
        <w:t>]</w:t>
      </w:r>
    </w:p>
    <w:p w:rsidR="000D3D85" w:rsidRPr="000D3D85" w:rsidRDefault="000D3D85" w:rsidP="000D3D85"/>
    <w:p w:rsidR="008D1EF6" w:rsidRDefault="00B96A15" w:rsidP="00DB70E6">
      <w:r w:rsidRPr="00B96A15">
        <w:rPr>
          <w:highlight w:val="yellow"/>
        </w:rPr>
        <w:t>2</w:t>
      </w:r>
      <w:r w:rsidR="00695A81">
        <w:t>.</w:t>
      </w:r>
      <w:r w:rsidR="00695A81">
        <w:tab/>
      </w:r>
      <w:r w:rsidR="009A7A1A" w:rsidRPr="008D1EF6">
        <w:t xml:space="preserve">to utilise the </w:t>
      </w:r>
      <w:r w:rsidR="009A7A1A" w:rsidRPr="00DB70E6">
        <w:rPr>
          <w:strike/>
          <w:highlight w:val="yellow"/>
        </w:rPr>
        <w:t xml:space="preserve">reports </w:t>
      </w:r>
      <w:r w:rsidR="00DB70E6" w:rsidRPr="00DB70E6">
        <w:rPr>
          <w:highlight w:val="yellow"/>
        </w:rPr>
        <w:t xml:space="preserve"> notification</w:t>
      </w:r>
      <w:r w:rsidR="00DB70E6">
        <w:t xml:space="preserve"> </w:t>
      </w:r>
      <w:r w:rsidR="009A7A1A" w:rsidRPr="008D1EF6">
        <w:t xml:space="preserve">of numbering misappropriation submitted to </w:t>
      </w:r>
      <w:r w:rsidR="009A7A1A" w:rsidRPr="00DB70E6">
        <w:rPr>
          <w:strike/>
          <w:highlight w:val="yellow"/>
        </w:rPr>
        <w:t>develop</w:t>
      </w:r>
      <w:r w:rsidR="00DB70E6">
        <w:t xml:space="preserve"> </w:t>
      </w:r>
      <w:r w:rsidR="00DB70E6" w:rsidRPr="00DB70E6">
        <w:rPr>
          <w:highlight w:val="yellow"/>
        </w:rPr>
        <w:t>support</w:t>
      </w:r>
      <w:r w:rsidR="00DB70E6">
        <w:t xml:space="preserve"> </w:t>
      </w:r>
      <w:r w:rsidR="009A7A1A" w:rsidRPr="008D1EF6">
        <w:t>a consistent identification of ITU-T E.164 Telephone Numbering Misappropriation issues in order to assist, on Member States’ request, to develop capability to counter ITU-T E.164 Telephone Number Misappropriation;</w:t>
      </w:r>
    </w:p>
    <w:p w:rsidR="009A7A1A" w:rsidRPr="008D1EF6" w:rsidRDefault="00B96A15" w:rsidP="00695A81">
      <w:r w:rsidRPr="00B96A15">
        <w:rPr>
          <w:highlight w:val="yellow"/>
        </w:rPr>
        <w:t>3</w:t>
      </w:r>
      <w:r w:rsidR="00695A81">
        <w:t>.</w:t>
      </w:r>
      <w:r w:rsidR="00695A81">
        <w:tab/>
      </w:r>
      <w:r w:rsidR="009A7A1A" w:rsidRPr="008D1EF6">
        <w:t xml:space="preserve">to continue to work with regions, sub-regions and countries, in particular developing countries and least developed countries: </w:t>
      </w:r>
    </w:p>
    <w:p w:rsidR="009A7A1A" w:rsidRPr="004B4E30" w:rsidRDefault="00695A81" w:rsidP="00695A81">
      <w:pPr>
        <w:ind w:left="794" w:hanging="794"/>
      </w:pPr>
      <w:r>
        <w:t>i.</w:t>
      </w:r>
      <w:r>
        <w:tab/>
      </w:r>
      <w:r w:rsidR="009A7A1A" w:rsidRPr="004B4E30">
        <w:t>to develop national legal and regulatory frameworks that are sufficient to ensure best practice in ITU-T E.164 telephone numbering management in order to counter Telephone Number Misappropriation;</w:t>
      </w:r>
    </w:p>
    <w:p w:rsidR="009A7A1A" w:rsidRDefault="00B96A15" w:rsidP="00695A81">
      <w:r w:rsidRPr="00B96A15">
        <w:rPr>
          <w:highlight w:val="yellow"/>
        </w:rPr>
        <w:t>4</w:t>
      </w:r>
      <w:r w:rsidR="00695A81" w:rsidRPr="00B96A15">
        <w:rPr>
          <w:highlight w:val="yellow"/>
        </w:rPr>
        <w:t>.</w:t>
      </w:r>
      <w:r w:rsidR="00695A81">
        <w:tab/>
      </w:r>
      <w:r w:rsidR="009A7A1A" w:rsidRPr="008D1EF6">
        <w:t>to be responsive to Member State requests, particularly those from developing countries and SIDS, towards developing, supporting and acting on developing best practice to counter  Telephone Number Misappropriation, resulting in templates, proposals, Recommendations and Resolutions that will assist in countering ITU-T E.164 Telephone Number Misappropriation</w:t>
      </w:r>
      <w:r w:rsidR="009A7A1A">
        <w:t>;</w:t>
      </w:r>
    </w:p>
    <w:p w:rsidR="009A7A1A" w:rsidRDefault="009A7A1A" w:rsidP="00695A81">
      <w:pPr>
        <w:pStyle w:val="Call"/>
      </w:pPr>
      <w:r>
        <w:t>requests the Director of Telecommunication Development Bureau in co-operation with the Director of the Telecommunication Standardisation Bureau</w:t>
      </w:r>
    </w:p>
    <w:p w:rsidR="009A7A1A" w:rsidRPr="004B4E30" w:rsidRDefault="009A7A1A" w:rsidP="00695A81">
      <w:r w:rsidRPr="004B4E30">
        <w:t>to ensure that national numbering plans are available, either directly from the Member State or via the ITU Operational Bulletin</w:t>
      </w:r>
      <w:r w:rsidR="00DB70E6">
        <w:t xml:space="preserve"> </w:t>
      </w:r>
      <w:r w:rsidR="00DB70E6" w:rsidRPr="00DB70E6">
        <w:rPr>
          <w:highlight w:val="yellow"/>
        </w:rPr>
        <w:t>utilizing the format specified in ITU-T Recommendation E.129</w:t>
      </w:r>
      <w:r w:rsidRPr="004B4E30">
        <w:t>, to contribute to countering Telephone Number Misappropriation;</w:t>
      </w:r>
    </w:p>
    <w:p w:rsidR="009A7A1A" w:rsidRPr="004B4E30" w:rsidRDefault="009A7A1A" w:rsidP="00695A81">
      <w:r w:rsidRPr="004B4E30">
        <w:t>to work cooperatively to continue to develop measures based on proven best practice to counter ITU-T E.164 Telephone Number Misappropriation</w:t>
      </w:r>
      <w:r w:rsidR="00695A81">
        <w:t>;</w:t>
      </w:r>
    </w:p>
    <w:p w:rsidR="009A7A1A" w:rsidRDefault="009A7A1A" w:rsidP="00695A81">
      <w:pPr>
        <w:pStyle w:val="Call"/>
      </w:pPr>
      <w:r w:rsidRPr="004B4E30">
        <w:t>invites Member States</w:t>
      </w:r>
    </w:p>
    <w:p w:rsidR="000D3D85" w:rsidRPr="000D3D85" w:rsidRDefault="000D3D85" w:rsidP="00DB70E6">
      <w:r w:rsidRPr="000D3D85">
        <w:rPr>
          <w:highlight w:val="yellow"/>
        </w:rPr>
        <w:t>1</w:t>
      </w:r>
      <w:r w:rsidRPr="000D3D85">
        <w:rPr>
          <w:highlight w:val="yellow"/>
        </w:rPr>
        <w:tab/>
        <w:t>to collaborate to identify, counter and combat activities associated with E.164 telephone number misappropriation;</w:t>
      </w:r>
      <w:r>
        <w:t xml:space="preserve"> </w:t>
      </w:r>
      <w:r w:rsidRPr="005F6FB4">
        <w:rPr>
          <w:highlight w:val="magenta"/>
        </w:rPr>
        <w:t xml:space="preserve">[from </w:t>
      </w:r>
      <w:r w:rsidR="00153EA7" w:rsidRPr="005F6FB4">
        <w:rPr>
          <w:highlight w:val="magenta"/>
        </w:rPr>
        <w:t>‘invites Member States’ para 1, in Doc 37Add.2]</w:t>
      </w:r>
      <w:r w:rsidR="00DB70E6" w:rsidRPr="005F6FB4">
        <w:rPr>
          <w:highlight w:val="magenta"/>
        </w:rPr>
        <w:t>.</w:t>
      </w:r>
    </w:p>
    <w:p w:rsidR="009A7A1A" w:rsidRPr="004B4E30" w:rsidRDefault="00DB70E6" w:rsidP="00695A81">
      <w:r w:rsidRPr="00DB70E6">
        <w:rPr>
          <w:highlight w:val="yellow"/>
        </w:rPr>
        <w:t>2</w:t>
      </w:r>
      <w:r w:rsidR="00695A81" w:rsidRPr="00DB70E6">
        <w:rPr>
          <w:highlight w:val="yellow"/>
        </w:rPr>
        <w:t>.</w:t>
      </w:r>
      <w:r w:rsidR="00695A81">
        <w:tab/>
      </w:r>
      <w:r w:rsidR="009A7A1A" w:rsidRPr="004B4E30">
        <w:t>to support the development and deployment of ITU-T E.164 telephone numbering management best practice within their jurisdiction;</w:t>
      </w:r>
    </w:p>
    <w:p w:rsidR="009A7A1A" w:rsidRPr="004B4E30" w:rsidRDefault="00DB70E6" w:rsidP="00695A81">
      <w:r w:rsidRPr="00DB70E6">
        <w:rPr>
          <w:highlight w:val="yellow"/>
        </w:rPr>
        <w:t>3</w:t>
      </w:r>
      <w:r w:rsidR="00695A81" w:rsidRPr="00DB70E6">
        <w:rPr>
          <w:highlight w:val="yellow"/>
        </w:rPr>
        <w:t>.</w:t>
      </w:r>
      <w:r w:rsidR="00695A81">
        <w:tab/>
      </w:r>
      <w:r w:rsidR="009A7A1A" w:rsidRPr="004B4E30">
        <w:t>to work collaboratively with other Member States and with Operating Agencies to keep them informed of the rules, guidelines and allocation methods for ITU-T E.164 telepho</w:t>
      </w:r>
      <w:r w:rsidR="00695A81">
        <w:t>ne numbers within their country,</w:t>
      </w:r>
    </w:p>
    <w:p w:rsidR="009A7A1A" w:rsidRPr="004B4E30" w:rsidRDefault="009A7A1A" w:rsidP="00695A81">
      <w:pPr>
        <w:pStyle w:val="Call"/>
      </w:pPr>
      <w:r w:rsidRPr="004B4E30">
        <w:t>invites Member States and sector members</w:t>
      </w:r>
    </w:p>
    <w:p w:rsidR="009A7A1A" w:rsidRPr="004B4E30" w:rsidRDefault="009A7A1A" w:rsidP="00695A81">
      <w:r w:rsidRPr="004B4E30">
        <w:t>to contribute to the development of best practice to counter misappropriation of ITU-T E.164 Telephone Numbers and to encourage administrations and international telecommunication operators that ITU-T E.164 numbering resources are to be used only by the assignees and only for the purposes for which they were assigned, and that unassigned resources are not used.</w:t>
      </w:r>
    </w:p>
    <w:p w:rsidR="009A7A1A" w:rsidRPr="005C44F2" w:rsidRDefault="009A7A1A" w:rsidP="00695A81">
      <w:pPr>
        <w:rPr>
          <w:rFonts w:cs="Arial"/>
        </w:rPr>
      </w:pPr>
    </w:p>
    <w:p w:rsidR="001D69F5" w:rsidRPr="003A382B" w:rsidRDefault="00695A81" w:rsidP="00695A81">
      <w:pPr>
        <w:jc w:val="center"/>
        <w:rPr>
          <w:rFonts w:cstheme="minorHAnsi"/>
          <w:szCs w:val="24"/>
        </w:rPr>
      </w:pPr>
      <w:r>
        <w:rPr>
          <w:rFonts w:cstheme="minorHAnsi"/>
          <w:szCs w:val="24"/>
        </w:rPr>
        <w:t>_______________</w:t>
      </w:r>
    </w:p>
    <w:sectPr w:rsidR="001D69F5" w:rsidRPr="003A382B" w:rsidSect="00B37866">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44" w:rsidRDefault="00DC7E44">
      <w:r>
        <w:separator/>
      </w:r>
    </w:p>
  </w:endnote>
  <w:endnote w:type="continuationSeparator" w:id="0">
    <w:p w:rsidR="00DC7E44" w:rsidRDefault="00DC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94" w:rsidRDefault="00F27594" w:rsidP="00F27594">
    <w:pPr>
      <w:pStyle w:val="FirstFooter"/>
      <w:pBdr>
        <w:top w:val="single" w:sz="4" w:space="3" w:color="auto"/>
      </w:pBdr>
      <w:tabs>
        <w:tab w:val="left" w:pos="1559"/>
        <w:tab w:val="left" w:pos="3828"/>
      </w:tabs>
      <w:ind w:left="3827" w:hanging="3827"/>
      <w:rPr>
        <w:sz w:val="18"/>
        <w:szCs w:val="18"/>
        <w:lang w:val="en-US"/>
      </w:rPr>
    </w:pPr>
    <w:r>
      <w:rPr>
        <w:sz w:val="18"/>
        <w:szCs w:val="18"/>
        <w:lang w:val="en-US"/>
      </w:rPr>
      <w:t>Contact:</w:t>
    </w:r>
    <w:r>
      <w:rPr>
        <w:sz w:val="18"/>
        <w:szCs w:val="18"/>
        <w:lang w:val="en-US"/>
      </w:rPr>
      <w:tab/>
      <w:t>Name/Organization/Entity:</w:t>
    </w:r>
    <w:r>
      <w:rPr>
        <w:sz w:val="18"/>
        <w:szCs w:val="18"/>
        <w:lang w:val="en-US"/>
      </w:rPr>
      <w:tab/>
    </w:r>
    <w:bookmarkStart w:id="10" w:name="OrgName"/>
    <w:bookmarkEnd w:id="10"/>
    <w:r w:rsidR="008F4D1B">
      <w:rPr>
        <w:sz w:val="18"/>
        <w:szCs w:val="18"/>
        <w:lang w:val="en-US"/>
      </w:rPr>
      <w:t xml:space="preserve">Mr </w:t>
    </w:r>
    <w:r>
      <w:rPr>
        <w:sz w:val="18"/>
        <w:szCs w:val="18"/>
        <w:lang w:val="en-US"/>
      </w:rPr>
      <w:t xml:space="preserve">Marcin Krasuski, Co-President, </w:t>
    </w:r>
    <w:r>
      <w:rPr>
        <w:sz w:val="18"/>
        <w:szCs w:val="18"/>
        <w:lang w:val="en-GB"/>
      </w:rPr>
      <w:t>European Conference of Postal and Telecommunications Administrations, CEPT</w:t>
    </w:r>
  </w:p>
  <w:p w:rsidR="00F27594" w:rsidRDefault="00F27594" w:rsidP="00F27594">
    <w:pPr>
      <w:pStyle w:val="FirstFooter"/>
      <w:tabs>
        <w:tab w:val="left" w:pos="1559"/>
        <w:tab w:val="left" w:pos="3828"/>
      </w:tabs>
      <w:ind w:firstLine="1559"/>
      <w:rPr>
        <w:sz w:val="18"/>
        <w:szCs w:val="18"/>
        <w:lang w:val="en-US"/>
      </w:rPr>
    </w:pPr>
    <w:r>
      <w:rPr>
        <w:sz w:val="18"/>
        <w:szCs w:val="18"/>
        <w:lang w:val="en-US"/>
      </w:rPr>
      <w:t>Phone number:</w:t>
    </w:r>
    <w:r>
      <w:rPr>
        <w:sz w:val="18"/>
        <w:szCs w:val="18"/>
        <w:lang w:val="en-US"/>
      </w:rPr>
      <w:tab/>
    </w:r>
    <w:bookmarkStart w:id="11" w:name="PhoneNo"/>
    <w:bookmarkEnd w:id="11"/>
    <w:r>
      <w:rPr>
        <w:sz w:val="18"/>
        <w:szCs w:val="18"/>
        <w:lang w:val="en-US"/>
      </w:rPr>
      <w:t>+48 78 3938430</w:t>
    </w:r>
  </w:p>
  <w:p w:rsidR="00721657" w:rsidRPr="00F27594" w:rsidRDefault="00F27594" w:rsidP="00F27594">
    <w:pPr>
      <w:pStyle w:val="FirstFooter"/>
      <w:tabs>
        <w:tab w:val="left" w:pos="1559"/>
        <w:tab w:val="left" w:pos="3828"/>
      </w:tabs>
      <w:ind w:firstLine="1559"/>
      <w:rPr>
        <w:sz w:val="18"/>
        <w:szCs w:val="18"/>
        <w:lang w:val="en-US"/>
      </w:rPr>
    </w:pPr>
    <w:r>
      <w:rPr>
        <w:sz w:val="18"/>
        <w:szCs w:val="18"/>
        <w:lang w:val="en-US"/>
      </w:rPr>
      <w:t>E-mail:</w:t>
    </w:r>
    <w:r>
      <w:rPr>
        <w:sz w:val="18"/>
        <w:szCs w:val="18"/>
        <w:lang w:val="en-US"/>
      </w:rPr>
      <w:tab/>
    </w:r>
    <w:bookmarkStart w:id="12" w:name="Email"/>
    <w:bookmarkEnd w:id="12"/>
    <w:r>
      <w:rPr>
        <w:sz w:val="18"/>
        <w:szCs w:val="18"/>
        <w:lang w:val="en-US"/>
      </w:rPr>
      <w:fldChar w:fldCharType="begin"/>
    </w:r>
    <w:r>
      <w:rPr>
        <w:sz w:val="18"/>
        <w:szCs w:val="18"/>
        <w:lang w:val="en-US"/>
      </w:rPr>
      <w:instrText xml:space="preserve"> HYPERLINK "mailto:marcin.krasuski@mac.gov.pl" </w:instrText>
    </w:r>
    <w:r>
      <w:rPr>
        <w:sz w:val="18"/>
        <w:szCs w:val="18"/>
        <w:lang w:val="en-US"/>
      </w:rPr>
      <w:fldChar w:fldCharType="separate"/>
    </w:r>
    <w:r>
      <w:rPr>
        <w:rStyle w:val="Hyperlink"/>
        <w:sz w:val="18"/>
        <w:szCs w:val="18"/>
        <w:lang w:val="en-US"/>
      </w:rPr>
      <w:t>marcin.krasuski@mac.gov.pl</w:t>
    </w:r>
    <w:r>
      <w:rPr>
        <w:sz w:val="18"/>
        <w:szCs w:val="18"/>
        <w:lang w:val="en-US"/>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44" w:rsidRDefault="00DC7E44">
      <w:r>
        <w:t>____________________</w:t>
      </w:r>
    </w:p>
  </w:footnote>
  <w:footnote w:type="continuationSeparator" w:id="0">
    <w:p w:rsidR="00DC7E44" w:rsidRDefault="00DC7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E9" w:rsidRDefault="007D63D6" w:rsidP="009A7A1A">
    <w:pPr>
      <w:pStyle w:val="Header"/>
      <w:tabs>
        <w:tab w:val="center" w:pos="4819"/>
        <w:tab w:val="right" w:pos="9639"/>
      </w:tabs>
      <w:jc w:val="left"/>
    </w:pPr>
    <w:r>
      <w:tab/>
    </w:r>
    <w:bookmarkStart w:id="9" w:name="DocRef2"/>
    <w:bookmarkEnd w:id="9"/>
    <w:r w:rsidR="0089457E">
      <w:t>WTDC14/41</w:t>
    </w:r>
    <w:r w:rsidR="00A360E9">
      <w:t>(Add</w:t>
    </w:r>
    <w:r w:rsidR="0072205B">
      <w:t>.</w:t>
    </w:r>
    <w:r w:rsidR="009A7A1A">
      <w:t>10</w:t>
    </w:r>
    <w:r w:rsidR="00A360E9">
      <w:t>)-E</w:t>
    </w:r>
    <w:r w:rsidR="00A360E9">
      <w:tab/>
      <w:t xml:space="preserve">Page </w:t>
    </w:r>
    <w:sdt>
      <w:sdtPr>
        <w:id w:val="637703110"/>
        <w:docPartObj>
          <w:docPartGallery w:val="Page Numbers (Top of Page)"/>
          <w:docPartUnique/>
        </w:docPartObj>
      </w:sdtPr>
      <w:sdtEndPr/>
      <w:sdtContent>
        <w:r w:rsidR="00A360E9">
          <w:fldChar w:fldCharType="begin"/>
        </w:r>
        <w:r w:rsidR="00A360E9">
          <w:instrText xml:space="preserve"> PAGE   \* MERGEFORMAT </w:instrText>
        </w:r>
        <w:r w:rsidR="00A360E9">
          <w:fldChar w:fldCharType="separate"/>
        </w:r>
        <w:r w:rsidR="00C15DC9">
          <w:rPr>
            <w:noProof/>
          </w:rPr>
          <w:t>4</w:t>
        </w:r>
        <w:r w:rsidR="00A360E9">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601"/>
    <w:multiLevelType w:val="hybridMultilevel"/>
    <w:tmpl w:val="03A64FB8"/>
    <w:lvl w:ilvl="0" w:tplc="98FED922">
      <w:start w:val="1"/>
      <w:numFmt w:val="decimal"/>
      <w:lvlText w:val="%1"/>
      <w:lvlJc w:val="left"/>
      <w:pPr>
        <w:ind w:left="360" w:hanging="360"/>
      </w:pPr>
      <w:rPr>
        <w:rFonts w:asciiTheme="minorHAnsi" w:hAnsiTheme="minorHAnsi" w:cs="Times New Roman" w:hint="default"/>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0D2DB9"/>
    <w:multiLevelType w:val="hybridMultilevel"/>
    <w:tmpl w:val="736A344A"/>
    <w:lvl w:ilvl="0" w:tplc="514E9288">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730E4"/>
    <w:multiLevelType w:val="hybridMultilevel"/>
    <w:tmpl w:val="A4340432"/>
    <w:lvl w:ilvl="0" w:tplc="04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193F44E5"/>
    <w:multiLevelType w:val="hybridMultilevel"/>
    <w:tmpl w:val="BB82F5CE"/>
    <w:lvl w:ilvl="0" w:tplc="99E4581A">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21D8E"/>
    <w:multiLevelType w:val="hybridMultilevel"/>
    <w:tmpl w:val="B6F2D5AE"/>
    <w:lvl w:ilvl="0" w:tplc="FCE0E15A">
      <w:start w:val="1"/>
      <w:numFmt w:val="lowerLetter"/>
      <w:lvlText w:val="%1)"/>
      <w:lvlJc w:val="left"/>
      <w:pPr>
        <w:ind w:left="720" w:hanging="360"/>
      </w:pPr>
      <w:rPr>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00751F9"/>
    <w:multiLevelType w:val="hybridMultilevel"/>
    <w:tmpl w:val="B6F2D5AE"/>
    <w:lvl w:ilvl="0" w:tplc="FCE0E15A">
      <w:start w:val="1"/>
      <w:numFmt w:val="lowerLetter"/>
      <w:lvlText w:val="%1)"/>
      <w:lvlJc w:val="left"/>
      <w:pPr>
        <w:ind w:left="1080" w:hanging="360"/>
      </w:pPr>
      <w:rPr>
        <w: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nsid w:val="2C8B0A7F"/>
    <w:multiLevelType w:val="hybridMultilevel"/>
    <w:tmpl w:val="A6D83B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29B7B85"/>
    <w:multiLevelType w:val="hybridMultilevel"/>
    <w:tmpl w:val="FB02223A"/>
    <w:lvl w:ilvl="0" w:tplc="98FED922">
      <w:start w:val="1"/>
      <w:numFmt w:val="decimal"/>
      <w:lvlText w:val="%1"/>
      <w:lvlJc w:val="left"/>
      <w:pPr>
        <w:ind w:left="360" w:hanging="360"/>
      </w:pPr>
      <w:rPr>
        <w:rFonts w:asciiTheme="minorHAnsi" w:hAnsiTheme="minorHAnsi" w:cs="Times New Roman" w:hint="default"/>
        <w:i w:val="0"/>
        <w:color w:val="auto"/>
        <w:sz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nsid w:val="490178A6"/>
    <w:multiLevelType w:val="hybridMultilevel"/>
    <w:tmpl w:val="8A5A0A3C"/>
    <w:lvl w:ilvl="0" w:tplc="98FED922">
      <w:start w:val="1"/>
      <w:numFmt w:val="decimal"/>
      <w:lvlText w:val="%1"/>
      <w:lvlJc w:val="left"/>
      <w:pPr>
        <w:ind w:left="360" w:hanging="360"/>
      </w:pPr>
      <w:rPr>
        <w:rFonts w:asciiTheme="minorHAnsi" w:hAnsiTheme="minorHAnsi" w:cs="Times New Roman" w:hint="default"/>
        <w:i w:val="0"/>
        <w:color w:val="auto"/>
        <w:sz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nsid w:val="517F3938"/>
    <w:multiLevelType w:val="hybridMultilevel"/>
    <w:tmpl w:val="8FC86554"/>
    <w:lvl w:ilvl="0" w:tplc="98FED922">
      <w:start w:val="1"/>
      <w:numFmt w:val="decimal"/>
      <w:lvlText w:val="%1"/>
      <w:lvlJc w:val="left"/>
      <w:pPr>
        <w:ind w:left="360" w:hanging="360"/>
      </w:pPr>
      <w:rPr>
        <w:rFonts w:asciiTheme="minorHAnsi" w:hAnsiTheme="minorHAnsi" w:cs="Times New Roman" w:hint="default"/>
        <w:i w:val="0"/>
        <w:color w:val="auto"/>
        <w:sz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nsid w:val="5ADA15DC"/>
    <w:multiLevelType w:val="hybridMultilevel"/>
    <w:tmpl w:val="B6F2D5AE"/>
    <w:lvl w:ilvl="0" w:tplc="FCE0E15A">
      <w:start w:val="1"/>
      <w:numFmt w:val="lowerLetter"/>
      <w:lvlText w:val="%1)"/>
      <w:lvlJc w:val="left"/>
      <w:pPr>
        <w:ind w:left="360" w:hanging="360"/>
      </w:pPr>
      <w:rPr>
        <w:i/>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nsid w:val="7366690F"/>
    <w:multiLevelType w:val="hybridMultilevel"/>
    <w:tmpl w:val="6E46D594"/>
    <w:lvl w:ilvl="0" w:tplc="98FED922">
      <w:start w:val="1"/>
      <w:numFmt w:val="decimal"/>
      <w:lvlText w:val="%1"/>
      <w:lvlJc w:val="left"/>
      <w:pPr>
        <w:ind w:left="360" w:hanging="360"/>
      </w:pPr>
      <w:rPr>
        <w:rFonts w:asciiTheme="minorHAnsi" w:hAnsiTheme="minorHAnsi" w:cs="Times New Roman" w:hint="default"/>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9"/>
  </w:num>
  <w:num w:numId="8">
    <w:abstractNumId w:val="8"/>
  </w:num>
  <w:num w:numId="9">
    <w:abstractNumId w:val="11"/>
  </w:num>
  <w:num w:numId="10">
    <w:abstractNumId w:val="7"/>
  </w:num>
  <w:num w:numId="11">
    <w:abstractNumId w:val="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A5"/>
    <w:rsid w:val="00003AE9"/>
    <w:rsid w:val="00005791"/>
    <w:rsid w:val="0003535E"/>
    <w:rsid w:val="00037A9E"/>
    <w:rsid w:val="000410BA"/>
    <w:rsid w:val="000539F1"/>
    <w:rsid w:val="00055A2A"/>
    <w:rsid w:val="00094F97"/>
    <w:rsid w:val="00097183"/>
    <w:rsid w:val="000A17C4"/>
    <w:rsid w:val="000B72C7"/>
    <w:rsid w:val="000D261B"/>
    <w:rsid w:val="000D3D85"/>
    <w:rsid w:val="000D6259"/>
    <w:rsid w:val="000E3E5C"/>
    <w:rsid w:val="000E3ED4"/>
    <w:rsid w:val="000F6644"/>
    <w:rsid w:val="00100833"/>
    <w:rsid w:val="00114A65"/>
    <w:rsid w:val="00116662"/>
    <w:rsid w:val="0012538A"/>
    <w:rsid w:val="00127195"/>
    <w:rsid w:val="0013104D"/>
    <w:rsid w:val="00141699"/>
    <w:rsid w:val="00142AE3"/>
    <w:rsid w:val="0014346D"/>
    <w:rsid w:val="00147000"/>
    <w:rsid w:val="001510DA"/>
    <w:rsid w:val="00153EA7"/>
    <w:rsid w:val="001645CB"/>
    <w:rsid w:val="00173781"/>
    <w:rsid w:val="00175CAE"/>
    <w:rsid w:val="001828DB"/>
    <w:rsid w:val="00182E10"/>
    <w:rsid w:val="001850FE"/>
    <w:rsid w:val="00185135"/>
    <w:rsid w:val="001905A9"/>
    <w:rsid w:val="00191273"/>
    <w:rsid w:val="00192BBF"/>
    <w:rsid w:val="001942A7"/>
    <w:rsid w:val="001A163D"/>
    <w:rsid w:val="001A441E"/>
    <w:rsid w:val="001B357F"/>
    <w:rsid w:val="001C3702"/>
    <w:rsid w:val="001D576B"/>
    <w:rsid w:val="001D607D"/>
    <w:rsid w:val="001D69F5"/>
    <w:rsid w:val="001F07B1"/>
    <w:rsid w:val="001F4238"/>
    <w:rsid w:val="00200A38"/>
    <w:rsid w:val="00200A46"/>
    <w:rsid w:val="0020122A"/>
    <w:rsid w:val="0021670E"/>
    <w:rsid w:val="00217CC3"/>
    <w:rsid w:val="0022120F"/>
    <w:rsid w:val="0022754A"/>
    <w:rsid w:val="00233188"/>
    <w:rsid w:val="0023627B"/>
    <w:rsid w:val="00245D0F"/>
    <w:rsid w:val="00250115"/>
    <w:rsid w:val="00257ACD"/>
    <w:rsid w:val="00260A36"/>
    <w:rsid w:val="00262908"/>
    <w:rsid w:val="002650F4"/>
    <w:rsid w:val="00273F7E"/>
    <w:rsid w:val="002844A5"/>
    <w:rsid w:val="00285B33"/>
    <w:rsid w:val="00291574"/>
    <w:rsid w:val="002C1EC7"/>
    <w:rsid w:val="002C20A4"/>
    <w:rsid w:val="002C7EA3"/>
    <w:rsid w:val="002D20AE"/>
    <w:rsid w:val="002E2104"/>
    <w:rsid w:val="002F05D8"/>
    <w:rsid w:val="002F2DE0"/>
    <w:rsid w:val="002F5E25"/>
    <w:rsid w:val="0030284D"/>
    <w:rsid w:val="00312AE6"/>
    <w:rsid w:val="00317D1A"/>
    <w:rsid w:val="00321193"/>
    <w:rsid w:val="00327A9D"/>
    <w:rsid w:val="0033130E"/>
    <w:rsid w:val="003544E1"/>
    <w:rsid w:val="00360B73"/>
    <w:rsid w:val="00392C02"/>
    <w:rsid w:val="003A382B"/>
    <w:rsid w:val="003A7FFE"/>
    <w:rsid w:val="003B0C61"/>
    <w:rsid w:val="003C1746"/>
    <w:rsid w:val="003D451D"/>
    <w:rsid w:val="00401BFF"/>
    <w:rsid w:val="00413B78"/>
    <w:rsid w:val="00427D47"/>
    <w:rsid w:val="00437A79"/>
    <w:rsid w:val="00453435"/>
    <w:rsid w:val="00463831"/>
    <w:rsid w:val="00466398"/>
    <w:rsid w:val="00477A44"/>
    <w:rsid w:val="00485363"/>
    <w:rsid w:val="0049128B"/>
    <w:rsid w:val="00491DC0"/>
    <w:rsid w:val="00493B49"/>
    <w:rsid w:val="004A070A"/>
    <w:rsid w:val="004A202B"/>
    <w:rsid w:val="004B1A3C"/>
    <w:rsid w:val="004B4E30"/>
    <w:rsid w:val="004C731A"/>
    <w:rsid w:val="004D2CC3"/>
    <w:rsid w:val="004D35CB"/>
    <w:rsid w:val="004E20E5"/>
    <w:rsid w:val="004E64EA"/>
    <w:rsid w:val="004F6A70"/>
    <w:rsid w:val="00504DB0"/>
    <w:rsid w:val="005072FE"/>
    <w:rsid w:val="0051648C"/>
    <w:rsid w:val="00534D5F"/>
    <w:rsid w:val="00544146"/>
    <w:rsid w:val="00544D1B"/>
    <w:rsid w:val="00545DC0"/>
    <w:rsid w:val="00545F6C"/>
    <w:rsid w:val="0055720C"/>
    <w:rsid w:val="0056423B"/>
    <w:rsid w:val="00573424"/>
    <w:rsid w:val="00584AEF"/>
    <w:rsid w:val="00592518"/>
    <w:rsid w:val="00592E87"/>
    <w:rsid w:val="00594C4D"/>
    <w:rsid w:val="005A33B0"/>
    <w:rsid w:val="005B1B22"/>
    <w:rsid w:val="005B2361"/>
    <w:rsid w:val="005C2DC2"/>
    <w:rsid w:val="005D57C8"/>
    <w:rsid w:val="005D6A15"/>
    <w:rsid w:val="005E0278"/>
    <w:rsid w:val="005E3CA0"/>
    <w:rsid w:val="005E44B1"/>
    <w:rsid w:val="005E67B0"/>
    <w:rsid w:val="005F43DD"/>
    <w:rsid w:val="005F6FB4"/>
    <w:rsid w:val="005F7416"/>
    <w:rsid w:val="00611579"/>
    <w:rsid w:val="00625A17"/>
    <w:rsid w:val="00625FB8"/>
    <w:rsid w:val="006261BD"/>
    <w:rsid w:val="00645CEB"/>
    <w:rsid w:val="00647171"/>
    <w:rsid w:val="0064734E"/>
    <w:rsid w:val="00650137"/>
    <w:rsid w:val="006725C7"/>
    <w:rsid w:val="006748F8"/>
    <w:rsid w:val="00680489"/>
    <w:rsid w:val="00695A81"/>
    <w:rsid w:val="006A7710"/>
    <w:rsid w:val="006A7A61"/>
    <w:rsid w:val="006B4952"/>
    <w:rsid w:val="006C1F18"/>
    <w:rsid w:val="006D0F8B"/>
    <w:rsid w:val="006D253B"/>
    <w:rsid w:val="006D40D5"/>
    <w:rsid w:val="006E56B9"/>
    <w:rsid w:val="006F009A"/>
    <w:rsid w:val="00721657"/>
    <w:rsid w:val="0072205B"/>
    <w:rsid w:val="00727B1A"/>
    <w:rsid w:val="00740EEF"/>
    <w:rsid w:val="00752258"/>
    <w:rsid w:val="00762880"/>
    <w:rsid w:val="00763B2C"/>
    <w:rsid w:val="00765DE5"/>
    <w:rsid w:val="00772290"/>
    <w:rsid w:val="00773724"/>
    <w:rsid w:val="007805E7"/>
    <w:rsid w:val="0078222A"/>
    <w:rsid w:val="007A4E50"/>
    <w:rsid w:val="007B18A7"/>
    <w:rsid w:val="007B250E"/>
    <w:rsid w:val="007C27FC"/>
    <w:rsid w:val="007C51FF"/>
    <w:rsid w:val="007D50E4"/>
    <w:rsid w:val="007D63D6"/>
    <w:rsid w:val="0080137B"/>
    <w:rsid w:val="008028CE"/>
    <w:rsid w:val="008129A2"/>
    <w:rsid w:val="008141E0"/>
    <w:rsid w:val="008161C8"/>
    <w:rsid w:val="00816F88"/>
    <w:rsid w:val="00852081"/>
    <w:rsid w:val="00874DFD"/>
    <w:rsid w:val="00883086"/>
    <w:rsid w:val="008879FD"/>
    <w:rsid w:val="0089457E"/>
    <w:rsid w:val="00894C37"/>
    <w:rsid w:val="008A00EA"/>
    <w:rsid w:val="008A298C"/>
    <w:rsid w:val="008A3F93"/>
    <w:rsid w:val="008A6E1C"/>
    <w:rsid w:val="008A72FD"/>
    <w:rsid w:val="008B118D"/>
    <w:rsid w:val="008B2EDF"/>
    <w:rsid w:val="008B54CB"/>
    <w:rsid w:val="008B5DB6"/>
    <w:rsid w:val="008C4010"/>
    <w:rsid w:val="008C4FDF"/>
    <w:rsid w:val="008D1EF6"/>
    <w:rsid w:val="008E0636"/>
    <w:rsid w:val="008F4D1B"/>
    <w:rsid w:val="008F71C1"/>
    <w:rsid w:val="00902D41"/>
    <w:rsid w:val="00914004"/>
    <w:rsid w:val="009301F1"/>
    <w:rsid w:val="00942A8A"/>
    <w:rsid w:val="009431F8"/>
    <w:rsid w:val="00966CB5"/>
    <w:rsid w:val="00974DA5"/>
    <w:rsid w:val="00975786"/>
    <w:rsid w:val="00983D76"/>
    <w:rsid w:val="00983E1F"/>
    <w:rsid w:val="00985EB2"/>
    <w:rsid w:val="00993F46"/>
    <w:rsid w:val="00994B91"/>
    <w:rsid w:val="00997358"/>
    <w:rsid w:val="009A452B"/>
    <w:rsid w:val="009A7A1A"/>
    <w:rsid w:val="009B050C"/>
    <w:rsid w:val="009C103C"/>
    <w:rsid w:val="009C110B"/>
    <w:rsid w:val="009C5441"/>
    <w:rsid w:val="009D30F0"/>
    <w:rsid w:val="009D3FEE"/>
    <w:rsid w:val="009F12D9"/>
    <w:rsid w:val="009F3940"/>
    <w:rsid w:val="009F3EB2"/>
    <w:rsid w:val="00A20267"/>
    <w:rsid w:val="00A22048"/>
    <w:rsid w:val="00A33A4D"/>
    <w:rsid w:val="00A360E9"/>
    <w:rsid w:val="00A438A7"/>
    <w:rsid w:val="00A53E7C"/>
    <w:rsid w:val="00A60087"/>
    <w:rsid w:val="00A6555F"/>
    <w:rsid w:val="00A705E8"/>
    <w:rsid w:val="00A70BC6"/>
    <w:rsid w:val="00A9392C"/>
    <w:rsid w:val="00A9462B"/>
    <w:rsid w:val="00A97D59"/>
    <w:rsid w:val="00AE2BE5"/>
    <w:rsid w:val="00AE5961"/>
    <w:rsid w:val="00AF605F"/>
    <w:rsid w:val="00B06F50"/>
    <w:rsid w:val="00B310F9"/>
    <w:rsid w:val="00B37866"/>
    <w:rsid w:val="00B4576B"/>
    <w:rsid w:val="00B8460A"/>
    <w:rsid w:val="00B8650D"/>
    <w:rsid w:val="00B879B4"/>
    <w:rsid w:val="00B90F07"/>
    <w:rsid w:val="00B96A15"/>
    <w:rsid w:val="00B97BB9"/>
    <w:rsid w:val="00BB25EE"/>
    <w:rsid w:val="00BC10A0"/>
    <w:rsid w:val="00BC7BA2"/>
    <w:rsid w:val="00BD426B"/>
    <w:rsid w:val="00BE00BD"/>
    <w:rsid w:val="00BE2B4D"/>
    <w:rsid w:val="00BF7BE0"/>
    <w:rsid w:val="00C015F8"/>
    <w:rsid w:val="00C15DC9"/>
    <w:rsid w:val="00C177C5"/>
    <w:rsid w:val="00C21489"/>
    <w:rsid w:val="00C33596"/>
    <w:rsid w:val="00C4038C"/>
    <w:rsid w:val="00C44066"/>
    <w:rsid w:val="00C44E13"/>
    <w:rsid w:val="00C62DFB"/>
    <w:rsid w:val="00C66F4D"/>
    <w:rsid w:val="00C80B2A"/>
    <w:rsid w:val="00C87BCA"/>
    <w:rsid w:val="00C94506"/>
    <w:rsid w:val="00C954BC"/>
    <w:rsid w:val="00CB2A2E"/>
    <w:rsid w:val="00CB3F16"/>
    <w:rsid w:val="00CB79C5"/>
    <w:rsid w:val="00CC732E"/>
    <w:rsid w:val="00CD2DC3"/>
    <w:rsid w:val="00CD4C60"/>
    <w:rsid w:val="00CD5569"/>
    <w:rsid w:val="00CD7207"/>
    <w:rsid w:val="00CE1786"/>
    <w:rsid w:val="00CE5E4D"/>
    <w:rsid w:val="00CF02C4"/>
    <w:rsid w:val="00D01F54"/>
    <w:rsid w:val="00D10FC7"/>
    <w:rsid w:val="00D11891"/>
    <w:rsid w:val="00D208FD"/>
    <w:rsid w:val="00D35BDD"/>
    <w:rsid w:val="00D36F9A"/>
    <w:rsid w:val="00D63006"/>
    <w:rsid w:val="00D72301"/>
    <w:rsid w:val="00D72556"/>
    <w:rsid w:val="00D72D22"/>
    <w:rsid w:val="00D91B97"/>
    <w:rsid w:val="00D93ACC"/>
    <w:rsid w:val="00D93C08"/>
    <w:rsid w:val="00D95DAC"/>
    <w:rsid w:val="00DB2840"/>
    <w:rsid w:val="00DB70E6"/>
    <w:rsid w:val="00DB7C65"/>
    <w:rsid w:val="00DC7E44"/>
    <w:rsid w:val="00DC7E85"/>
    <w:rsid w:val="00DD2068"/>
    <w:rsid w:val="00DD66B4"/>
    <w:rsid w:val="00DE27AB"/>
    <w:rsid w:val="00DE2872"/>
    <w:rsid w:val="00DF2AB3"/>
    <w:rsid w:val="00DF7250"/>
    <w:rsid w:val="00E00CAA"/>
    <w:rsid w:val="00E03EBF"/>
    <w:rsid w:val="00E04162"/>
    <w:rsid w:val="00E05209"/>
    <w:rsid w:val="00E2258E"/>
    <w:rsid w:val="00E260C2"/>
    <w:rsid w:val="00E32596"/>
    <w:rsid w:val="00E368F7"/>
    <w:rsid w:val="00E37FB8"/>
    <w:rsid w:val="00E40B07"/>
    <w:rsid w:val="00E421C0"/>
    <w:rsid w:val="00E43544"/>
    <w:rsid w:val="00E477EA"/>
    <w:rsid w:val="00E64D85"/>
    <w:rsid w:val="00E65D83"/>
    <w:rsid w:val="00E83810"/>
    <w:rsid w:val="00E86933"/>
    <w:rsid w:val="00EA7DE7"/>
    <w:rsid w:val="00EB7A8A"/>
    <w:rsid w:val="00ED626D"/>
    <w:rsid w:val="00EF01CF"/>
    <w:rsid w:val="00EF3839"/>
    <w:rsid w:val="00EF73C0"/>
    <w:rsid w:val="00F03590"/>
    <w:rsid w:val="00F238B3"/>
    <w:rsid w:val="00F25586"/>
    <w:rsid w:val="00F27594"/>
    <w:rsid w:val="00F31498"/>
    <w:rsid w:val="00F34DF8"/>
    <w:rsid w:val="00F42F1C"/>
    <w:rsid w:val="00F43B44"/>
    <w:rsid w:val="00F440E5"/>
    <w:rsid w:val="00F448F6"/>
    <w:rsid w:val="00F52741"/>
    <w:rsid w:val="00F53D8A"/>
    <w:rsid w:val="00F60FD3"/>
    <w:rsid w:val="00F626F7"/>
    <w:rsid w:val="00F66371"/>
    <w:rsid w:val="00F67272"/>
    <w:rsid w:val="00F9211C"/>
    <w:rsid w:val="00F938F7"/>
    <w:rsid w:val="00FA095D"/>
    <w:rsid w:val="00FA19E7"/>
    <w:rsid w:val="00FB1801"/>
    <w:rsid w:val="00FB4139"/>
    <w:rsid w:val="00FB476E"/>
    <w:rsid w:val="00FC07F6"/>
    <w:rsid w:val="00FC0D90"/>
    <w:rsid w:val="00FC7D8C"/>
    <w:rsid w:val="00FD1A80"/>
    <w:rsid w:val="00FD3980"/>
    <w:rsid w:val="00FD431E"/>
    <w:rsid w:val="00FD5A2C"/>
    <w:rsid w:val="00FE1D5C"/>
    <w:rsid w:val="00FE2F8B"/>
    <w:rsid w:val="00FE4C97"/>
    <w:rsid w:val="00FE68B6"/>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A163D"/>
    <w:rPr>
      <w:rFonts w:cs="Times New Roman Bold"/>
      <w:b/>
      <w:caps/>
    </w:rPr>
  </w:style>
  <w:style w:type="paragraph" w:customStyle="1" w:styleId="CEOcontributionStart">
    <w:name w:val="CEO_contributionStart"/>
    <w:next w:val="Normal"/>
    <w:rsid w:val="00942A8A"/>
    <w:pPr>
      <w:spacing w:before="360" w:after="120"/>
    </w:pPr>
    <w:rPr>
      <w:rFonts w:ascii="Calibri" w:eastAsia="SimHei" w:hAnsi="Calibri" w:cs="Simplified Arabic"/>
      <w:sz w:val="24"/>
      <w:szCs w:val="28"/>
      <w:lang w:val="en-GB" w:eastAsia="en-US"/>
    </w:rPr>
  </w:style>
  <w:style w:type="character" w:styleId="Hyperlink">
    <w:name w:val="Hyperlink"/>
    <w:basedOn w:val="DefaultParagraphFont"/>
    <w:rsid w:val="008A298C"/>
    <w:rPr>
      <w:color w:val="0000FF" w:themeColor="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E421C0"/>
    <w:rPr>
      <w:rFonts w:asciiTheme="minorHAnsi" w:hAnsiTheme="minorHAnsi"/>
      <w:sz w:val="24"/>
      <w:lang w:val="en-GB" w:eastAsia="en-US"/>
    </w:rPr>
  </w:style>
  <w:style w:type="character" w:customStyle="1" w:styleId="RestitleChar">
    <w:name w:val="Res_title Char"/>
    <w:link w:val="Restitle"/>
    <w:locked/>
    <w:rsid w:val="00C21489"/>
    <w:rPr>
      <w:rFonts w:asciiTheme="minorHAnsi" w:hAnsiTheme="minorHAnsi"/>
      <w:b/>
      <w:sz w:val="28"/>
      <w:lang w:val="en-GB" w:eastAsia="en-US"/>
    </w:rPr>
  </w:style>
  <w:style w:type="character" w:customStyle="1" w:styleId="CallChar">
    <w:name w:val="Call Char"/>
    <w:link w:val="Call"/>
    <w:locked/>
    <w:rsid w:val="00C21489"/>
    <w:rPr>
      <w:rFonts w:asciiTheme="minorHAnsi" w:hAnsiTheme="minorHAnsi"/>
      <w:i/>
      <w:sz w:val="24"/>
      <w:lang w:val="en-GB" w:eastAsia="en-US"/>
    </w:rPr>
  </w:style>
  <w:style w:type="paragraph" w:customStyle="1" w:styleId="CEONormal">
    <w:name w:val="CEO_Normal"/>
    <w:link w:val="CEONormalChar"/>
    <w:uiPriority w:val="99"/>
    <w:rsid w:val="00C21489"/>
    <w:pPr>
      <w:spacing w:before="120" w:after="120"/>
    </w:pPr>
    <w:rPr>
      <w:rFonts w:ascii="Verdana" w:eastAsia="SimSun" w:hAnsi="Verdana"/>
      <w:sz w:val="19"/>
      <w:lang w:val="en-GB" w:eastAsia="en-US"/>
    </w:rPr>
  </w:style>
  <w:style w:type="character" w:customStyle="1" w:styleId="CEONormalChar">
    <w:name w:val="CEO_Normal Char"/>
    <w:link w:val="CEONormal"/>
    <w:uiPriority w:val="99"/>
    <w:locked/>
    <w:rsid w:val="00C21489"/>
    <w:rPr>
      <w:rFonts w:ascii="Verdana" w:eastAsia="SimSun" w:hAnsi="Verdana"/>
      <w:sz w:val="19"/>
      <w:lang w:val="en-GB" w:eastAsia="en-US"/>
    </w:rPr>
  </w:style>
  <w:style w:type="character" w:customStyle="1" w:styleId="hps">
    <w:name w:val="hps"/>
    <w:rsid w:val="00C21489"/>
  </w:style>
  <w:style w:type="paragraph" w:customStyle="1" w:styleId="CEOProposals">
    <w:name w:val="CEO_Proposals"/>
    <w:basedOn w:val="Normal"/>
    <w:rsid w:val="00C21489"/>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C21489"/>
    <w:pPr>
      <w:spacing w:before="360"/>
    </w:pPr>
    <w:rPr>
      <w:rFonts w:ascii="Times New Roman" w:eastAsia="SimSun" w:hAnsi="Times New Roman"/>
    </w:rPr>
  </w:style>
  <w:style w:type="character" w:customStyle="1" w:styleId="ResNoChar">
    <w:name w:val="Res_No Char"/>
    <w:link w:val="ResNo"/>
    <w:rsid w:val="00C21489"/>
    <w:rPr>
      <w:rFonts w:asciiTheme="minorHAnsi" w:hAnsiTheme="minorHAnsi"/>
      <w:caps/>
      <w:sz w:val="28"/>
      <w:lang w:val="en-GB" w:eastAsia="en-US"/>
    </w:rPr>
  </w:style>
  <w:style w:type="character" w:styleId="Strong">
    <w:name w:val="Strong"/>
    <w:basedOn w:val="DefaultParagraphFont"/>
    <w:uiPriority w:val="22"/>
    <w:qFormat/>
    <w:rsid w:val="00625A17"/>
    <w:rPr>
      <w:b/>
      <w:bCs/>
    </w:rPr>
  </w:style>
  <w:style w:type="character" w:customStyle="1" w:styleId="style171">
    <w:name w:val="style171"/>
    <w:basedOn w:val="DefaultParagraphFont"/>
    <w:rsid w:val="00625A17"/>
  </w:style>
  <w:style w:type="paragraph" w:styleId="ListParagraph">
    <w:name w:val="List Paragraph"/>
    <w:aliases w:val="List Paragraph1,Recommendation,List Paragraph11"/>
    <w:basedOn w:val="Normal"/>
    <w:link w:val="ListParagraphChar"/>
    <w:uiPriority w:val="34"/>
    <w:qFormat/>
    <w:rsid w:val="001D69F5"/>
    <w:pPr>
      <w:tabs>
        <w:tab w:val="clear" w:pos="794"/>
        <w:tab w:val="clear" w:pos="1191"/>
        <w:tab w:val="clear" w:pos="1588"/>
        <w:tab w:val="clear" w:pos="1985"/>
      </w:tabs>
      <w:suppressAutoHyphens/>
      <w:overflowPunct/>
      <w:autoSpaceDE/>
      <w:autoSpaceDN/>
      <w:adjustRightInd/>
      <w:spacing w:before="0" w:line="260" w:lineRule="atLeast"/>
      <w:ind w:left="720"/>
      <w:contextualSpacing/>
      <w:textAlignment w:val="auto"/>
    </w:pPr>
    <w:rPr>
      <w:rFonts w:ascii="Arial" w:hAnsi="Arial" w:cs="Arial"/>
      <w:color w:val="63666A"/>
      <w:sz w:val="18"/>
      <w:szCs w:val="18"/>
      <w:lang w:val="en-US"/>
    </w:rPr>
  </w:style>
  <w:style w:type="character" w:customStyle="1" w:styleId="ListParagraphChar">
    <w:name w:val="List Paragraph Char"/>
    <w:aliases w:val="List Paragraph1 Char,Recommendation Char,List Paragraph11 Char"/>
    <w:link w:val="ListParagraph"/>
    <w:uiPriority w:val="34"/>
    <w:locked/>
    <w:rsid w:val="009A7A1A"/>
    <w:rPr>
      <w:rFonts w:ascii="Arial" w:hAnsi="Arial" w:cs="Arial"/>
      <w:color w:val="63666A"/>
      <w:sz w:val="18"/>
      <w:szCs w:val="18"/>
      <w:lang w:eastAsia="en-US"/>
    </w:rPr>
  </w:style>
  <w:style w:type="paragraph" w:styleId="BalloonText">
    <w:name w:val="Balloon Text"/>
    <w:basedOn w:val="Normal"/>
    <w:link w:val="BalloonTextChar"/>
    <w:rsid w:val="00D72556"/>
    <w:pPr>
      <w:spacing w:before="0"/>
    </w:pPr>
    <w:rPr>
      <w:rFonts w:ascii="Tahoma" w:hAnsi="Tahoma" w:cs="Tahoma"/>
      <w:sz w:val="16"/>
      <w:szCs w:val="16"/>
    </w:rPr>
  </w:style>
  <w:style w:type="character" w:customStyle="1" w:styleId="BalloonTextChar">
    <w:name w:val="Balloon Text Char"/>
    <w:basedOn w:val="DefaultParagraphFont"/>
    <w:link w:val="BalloonText"/>
    <w:rsid w:val="00D7255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A163D"/>
    <w:rPr>
      <w:rFonts w:cs="Times New Roman Bold"/>
      <w:b/>
      <w:caps/>
    </w:rPr>
  </w:style>
  <w:style w:type="paragraph" w:customStyle="1" w:styleId="CEOcontributionStart">
    <w:name w:val="CEO_contributionStart"/>
    <w:next w:val="Normal"/>
    <w:rsid w:val="00942A8A"/>
    <w:pPr>
      <w:spacing w:before="360" w:after="120"/>
    </w:pPr>
    <w:rPr>
      <w:rFonts w:ascii="Calibri" w:eastAsia="SimHei" w:hAnsi="Calibri" w:cs="Simplified Arabic"/>
      <w:sz w:val="24"/>
      <w:szCs w:val="28"/>
      <w:lang w:val="en-GB" w:eastAsia="en-US"/>
    </w:rPr>
  </w:style>
  <w:style w:type="character" w:styleId="Hyperlink">
    <w:name w:val="Hyperlink"/>
    <w:basedOn w:val="DefaultParagraphFont"/>
    <w:rsid w:val="008A298C"/>
    <w:rPr>
      <w:color w:val="0000FF" w:themeColor="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E421C0"/>
    <w:rPr>
      <w:rFonts w:asciiTheme="minorHAnsi" w:hAnsiTheme="minorHAnsi"/>
      <w:sz w:val="24"/>
      <w:lang w:val="en-GB" w:eastAsia="en-US"/>
    </w:rPr>
  </w:style>
  <w:style w:type="character" w:customStyle="1" w:styleId="RestitleChar">
    <w:name w:val="Res_title Char"/>
    <w:link w:val="Restitle"/>
    <w:locked/>
    <w:rsid w:val="00C21489"/>
    <w:rPr>
      <w:rFonts w:asciiTheme="minorHAnsi" w:hAnsiTheme="minorHAnsi"/>
      <w:b/>
      <w:sz w:val="28"/>
      <w:lang w:val="en-GB" w:eastAsia="en-US"/>
    </w:rPr>
  </w:style>
  <w:style w:type="character" w:customStyle="1" w:styleId="CallChar">
    <w:name w:val="Call Char"/>
    <w:link w:val="Call"/>
    <w:locked/>
    <w:rsid w:val="00C21489"/>
    <w:rPr>
      <w:rFonts w:asciiTheme="minorHAnsi" w:hAnsiTheme="minorHAnsi"/>
      <w:i/>
      <w:sz w:val="24"/>
      <w:lang w:val="en-GB" w:eastAsia="en-US"/>
    </w:rPr>
  </w:style>
  <w:style w:type="paragraph" w:customStyle="1" w:styleId="CEONormal">
    <w:name w:val="CEO_Normal"/>
    <w:link w:val="CEONormalChar"/>
    <w:uiPriority w:val="99"/>
    <w:rsid w:val="00C21489"/>
    <w:pPr>
      <w:spacing w:before="120" w:after="120"/>
    </w:pPr>
    <w:rPr>
      <w:rFonts w:ascii="Verdana" w:eastAsia="SimSun" w:hAnsi="Verdana"/>
      <w:sz w:val="19"/>
      <w:lang w:val="en-GB" w:eastAsia="en-US"/>
    </w:rPr>
  </w:style>
  <w:style w:type="character" w:customStyle="1" w:styleId="CEONormalChar">
    <w:name w:val="CEO_Normal Char"/>
    <w:link w:val="CEONormal"/>
    <w:uiPriority w:val="99"/>
    <w:locked/>
    <w:rsid w:val="00C21489"/>
    <w:rPr>
      <w:rFonts w:ascii="Verdana" w:eastAsia="SimSun" w:hAnsi="Verdana"/>
      <w:sz w:val="19"/>
      <w:lang w:val="en-GB" w:eastAsia="en-US"/>
    </w:rPr>
  </w:style>
  <w:style w:type="character" w:customStyle="1" w:styleId="hps">
    <w:name w:val="hps"/>
    <w:rsid w:val="00C21489"/>
  </w:style>
  <w:style w:type="paragraph" w:customStyle="1" w:styleId="CEOProposals">
    <w:name w:val="CEO_Proposals"/>
    <w:basedOn w:val="Normal"/>
    <w:rsid w:val="00C21489"/>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C21489"/>
    <w:pPr>
      <w:spacing w:before="360"/>
    </w:pPr>
    <w:rPr>
      <w:rFonts w:ascii="Times New Roman" w:eastAsia="SimSun" w:hAnsi="Times New Roman"/>
    </w:rPr>
  </w:style>
  <w:style w:type="character" w:customStyle="1" w:styleId="ResNoChar">
    <w:name w:val="Res_No Char"/>
    <w:link w:val="ResNo"/>
    <w:rsid w:val="00C21489"/>
    <w:rPr>
      <w:rFonts w:asciiTheme="minorHAnsi" w:hAnsiTheme="minorHAnsi"/>
      <w:caps/>
      <w:sz w:val="28"/>
      <w:lang w:val="en-GB" w:eastAsia="en-US"/>
    </w:rPr>
  </w:style>
  <w:style w:type="character" w:styleId="Strong">
    <w:name w:val="Strong"/>
    <w:basedOn w:val="DefaultParagraphFont"/>
    <w:uiPriority w:val="22"/>
    <w:qFormat/>
    <w:rsid w:val="00625A17"/>
    <w:rPr>
      <w:b/>
      <w:bCs/>
    </w:rPr>
  </w:style>
  <w:style w:type="character" w:customStyle="1" w:styleId="style171">
    <w:name w:val="style171"/>
    <w:basedOn w:val="DefaultParagraphFont"/>
    <w:rsid w:val="00625A17"/>
  </w:style>
  <w:style w:type="paragraph" w:styleId="ListParagraph">
    <w:name w:val="List Paragraph"/>
    <w:aliases w:val="List Paragraph1,Recommendation,List Paragraph11"/>
    <w:basedOn w:val="Normal"/>
    <w:link w:val="ListParagraphChar"/>
    <w:uiPriority w:val="34"/>
    <w:qFormat/>
    <w:rsid w:val="001D69F5"/>
    <w:pPr>
      <w:tabs>
        <w:tab w:val="clear" w:pos="794"/>
        <w:tab w:val="clear" w:pos="1191"/>
        <w:tab w:val="clear" w:pos="1588"/>
        <w:tab w:val="clear" w:pos="1985"/>
      </w:tabs>
      <w:suppressAutoHyphens/>
      <w:overflowPunct/>
      <w:autoSpaceDE/>
      <w:autoSpaceDN/>
      <w:adjustRightInd/>
      <w:spacing w:before="0" w:line="260" w:lineRule="atLeast"/>
      <w:ind w:left="720"/>
      <w:contextualSpacing/>
      <w:textAlignment w:val="auto"/>
    </w:pPr>
    <w:rPr>
      <w:rFonts w:ascii="Arial" w:hAnsi="Arial" w:cs="Arial"/>
      <w:color w:val="63666A"/>
      <w:sz w:val="18"/>
      <w:szCs w:val="18"/>
      <w:lang w:val="en-US"/>
    </w:rPr>
  </w:style>
  <w:style w:type="character" w:customStyle="1" w:styleId="ListParagraphChar">
    <w:name w:val="List Paragraph Char"/>
    <w:aliases w:val="List Paragraph1 Char,Recommendation Char,List Paragraph11 Char"/>
    <w:link w:val="ListParagraph"/>
    <w:uiPriority w:val="34"/>
    <w:locked/>
    <w:rsid w:val="009A7A1A"/>
    <w:rPr>
      <w:rFonts w:ascii="Arial" w:hAnsi="Arial" w:cs="Arial"/>
      <w:color w:val="63666A"/>
      <w:sz w:val="18"/>
      <w:szCs w:val="18"/>
      <w:lang w:eastAsia="en-US"/>
    </w:rPr>
  </w:style>
  <w:style w:type="paragraph" w:styleId="BalloonText">
    <w:name w:val="Balloon Text"/>
    <w:basedOn w:val="Normal"/>
    <w:link w:val="BalloonTextChar"/>
    <w:rsid w:val="00D72556"/>
    <w:pPr>
      <w:spacing w:before="0"/>
    </w:pPr>
    <w:rPr>
      <w:rFonts w:ascii="Tahoma" w:hAnsi="Tahoma" w:cs="Tahoma"/>
      <w:sz w:val="16"/>
      <w:szCs w:val="16"/>
    </w:rPr>
  </w:style>
  <w:style w:type="character" w:customStyle="1" w:styleId="BalloonTextChar">
    <w:name w:val="Balloon Text Char"/>
    <w:basedOn w:val="DefaultParagraphFont"/>
    <w:link w:val="BalloonText"/>
    <w:rsid w:val="00D7255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769267">
      <w:bodyDiv w:val="1"/>
      <w:marLeft w:val="0"/>
      <w:marRight w:val="0"/>
      <w:marTop w:val="0"/>
      <w:marBottom w:val="0"/>
      <w:divBdr>
        <w:top w:val="none" w:sz="0" w:space="0" w:color="auto"/>
        <w:left w:val="none" w:sz="0" w:space="0" w:color="auto"/>
        <w:bottom w:val="none" w:sz="0" w:space="0" w:color="auto"/>
        <w:right w:val="none" w:sz="0" w:space="0" w:color="auto"/>
      </w:divBdr>
    </w:div>
    <w:div w:id="1214925818">
      <w:bodyDiv w:val="1"/>
      <w:marLeft w:val="0"/>
      <w:marRight w:val="0"/>
      <w:marTop w:val="0"/>
      <w:marBottom w:val="0"/>
      <w:divBdr>
        <w:top w:val="none" w:sz="0" w:space="0" w:color="auto"/>
        <w:left w:val="none" w:sz="0" w:space="0" w:color="auto"/>
        <w:bottom w:val="none" w:sz="0" w:space="0" w:color="auto"/>
        <w:right w:val="none" w:sz="0" w:space="0" w:color="auto"/>
      </w:divBdr>
    </w:div>
    <w:div w:id="13256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267DD-F680-4845-8B37-C4833140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Puyana-Linares, Laura</dc:creator>
  <dc:description>PE_WTDC14.dotm  For: _x000d_Document date: _x000d_Saved by ITU51009317 at 13:55:42 on 17.12.13</dc:description>
  <cp:lastModifiedBy>COM4-mm</cp:lastModifiedBy>
  <cp:revision>2</cp:revision>
  <cp:lastPrinted>2014-03-14T17:58:00Z</cp:lastPrinted>
  <dcterms:created xsi:type="dcterms:W3CDTF">2014-04-03T06:19:00Z</dcterms:created>
  <dcterms:modified xsi:type="dcterms:W3CDTF">2014-04-03T06:19:00Z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WTDC14/5-E</vt:lpwstr>
  </property>
  <property fmtid="{D5CDD505-2E9C-101B-9397-08002B2CF9AE}" pid="3" name="Docdate">
    <vt:lpwstr>22 January 2014</vt:lpwstr>
  </property>
  <property fmtid="{D5CDD505-2E9C-101B-9397-08002B2CF9AE}" pid="4" name="Docorlang">
    <vt:lpwstr>Original: English</vt:lpwstr>
  </property>
  <property fmtid="{D5CDD505-2E9C-101B-9397-08002B2CF9AE}" pid="5" name="Docdest">
    <vt:lpwstr>ASDF</vt:lpwstr>
  </property>
  <property fmtid="{D5CDD505-2E9C-101B-9397-08002B2CF9AE}" pid="6" name="Docauthor">
    <vt:lpwstr>qwer</vt:lpwstr>
  </property>
  <property fmtid="{D5CDD505-2E9C-101B-9397-08002B2CF9AE}" pid="7" name="Docbluepink">
    <vt:lpwstr/>
  </property>
</Properties>
</file>