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92"/>
        <w:tblW w:w="9746" w:type="dxa"/>
        <w:tblLayout w:type="fixed"/>
        <w:tblCellMar>
          <w:left w:w="107" w:type="dxa"/>
          <w:right w:w="107" w:type="dxa"/>
        </w:tblCellMar>
        <w:tblLook w:val="0000" w:firstRow="0" w:lastRow="0" w:firstColumn="0" w:lastColumn="0" w:noHBand="0" w:noVBand="0"/>
      </w:tblPr>
      <w:tblGrid>
        <w:gridCol w:w="1950"/>
        <w:gridCol w:w="4678"/>
        <w:gridCol w:w="3118"/>
      </w:tblGrid>
      <w:tr w:rsidR="007D63D6" w:rsidTr="00721657">
        <w:trPr>
          <w:cantSplit/>
        </w:trPr>
        <w:tc>
          <w:tcPr>
            <w:tcW w:w="6628" w:type="dxa"/>
            <w:gridSpan w:val="2"/>
          </w:tcPr>
          <w:p w:rsidR="007D63D6" w:rsidRPr="00EF01CF" w:rsidRDefault="007D63D6" w:rsidP="005E3CA0">
            <w:pPr>
              <w:rPr>
                <w:rFonts w:ascii="Verdana" w:hAnsi="Verdana"/>
              </w:rPr>
            </w:pPr>
            <w:r w:rsidRPr="00E00CAA">
              <w:rPr>
                <w:b/>
                <w:bCs/>
                <w:sz w:val="32"/>
                <w:szCs w:val="24"/>
              </w:rPr>
              <w:t>World Telecommunication Development Conference (WTDC-14)</w:t>
            </w:r>
            <w:r w:rsidRPr="00721657">
              <w:br/>
            </w:r>
            <w:r>
              <w:rPr>
                <w:b/>
                <w:bCs/>
              </w:rPr>
              <w:t>Dubai</w:t>
            </w:r>
            <w:r w:rsidRPr="00E00CAA">
              <w:rPr>
                <w:b/>
                <w:bCs/>
              </w:rPr>
              <w:t>, 3</w:t>
            </w:r>
            <w:r>
              <w:rPr>
                <w:b/>
                <w:bCs/>
              </w:rPr>
              <w:t>0</w:t>
            </w:r>
            <w:r w:rsidRPr="00E00CAA">
              <w:rPr>
                <w:b/>
                <w:bCs/>
              </w:rPr>
              <w:t xml:space="preserve"> March – 1</w:t>
            </w:r>
            <w:r>
              <w:rPr>
                <w:b/>
                <w:bCs/>
              </w:rPr>
              <w:t>0</w:t>
            </w:r>
            <w:r w:rsidRPr="00E00CAA">
              <w:rPr>
                <w:b/>
                <w:bCs/>
              </w:rPr>
              <w:t xml:space="preserve"> April 2014</w:t>
            </w:r>
          </w:p>
        </w:tc>
        <w:tc>
          <w:tcPr>
            <w:tcW w:w="3118" w:type="dxa"/>
          </w:tcPr>
          <w:p w:rsidR="007D63D6" w:rsidRDefault="007D63D6" w:rsidP="007D63D6">
            <w:pPr>
              <w:spacing w:before="0" w:after="80"/>
            </w:pPr>
            <w:r>
              <w:rPr>
                <w:noProof/>
                <w:lang w:val="en-US" w:eastAsia="zh-CN"/>
              </w:rPr>
              <w:drawing>
                <wp:inline distT="0" distB="0" distL="0" distR="0" wp14:anchorId="6764D9BA" wp14:editId="230197DA">
                  <wp:extent cx="1760220" cy="74676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7D63D6" w:rsidRPr="00997358" w:rsidTr="00721657">
        <w:trPr>
          <w:cantSplit/>
        </w:trPr>
        <w:tc>
          <w:tcPr>
            <w:tcW w:w="9746" w:type="dxa"/>
            <w:gridSpan w:val="3"/>
            <w:tcBorders>
              <w:bottom w:val="single" w:sz="12" w:space="0" w:color="auto"/>
            </w:tcBorders>
            <w:vAlign w:val="center"/>
          </w:tcPr>
          <w:p w:rsidR="007D63D6" w:rsidRPr="00997358" w:rsidRDefault="007D63D6" w:rsidP="007D63D6">
            <w:pPr>
              <w:spacing w:before="0"/>
              <w:rPr>
                <w:b/>
                <w:bCs/>
                <w:sz w:val="20"/>
              </w:rPr>
            </w:pPr>
          </w:p>
        </w:tc>
      </w:tr>
      <w:tr w:rsidR="007D63D6" w:rsidRPr="00997358" w:rsidTr="00721657">
        <w:trPr>
          <w:cantSplit/>
        </w:trPr>
        <w:tc>
          <w:tcPr>
            <w:tcW w:w="6628" w:type="dxa"/>
            <w:gridSpan w:val="2"/>
          </w:tcPr>
          <w:p w:rsidR="007D63D6" w:rsidRPr="00997358" w:rsidRDefault="007D63D6" w:rsidP="007D63D6">
            <w:pPr>
              <w:spacing w:before="0"/>
              <w:rPr>
                <w:rFonts w:cs="Arial"/>
                <w:b/>
                <w:bCs/>
                <w:sz w:val="20"/>
              </w:rPr>
            </w:pPr>
          </w:p>
        </w:tc>
        <w:tc>
          <w:tcPr>
            <w:tcW w:w="3118" w:type="dxa"/>
          </w:tcPr>
          <w:p w:rsidR="007D63D6" w:rsidRPr="00997358" w:rsidRDefault="007D63D6" w:rsidP="007D63D6">
            <w:pPr>
              <w:spacing w:before="0"/>
              <w:rPr>
                <w:b/>
                <w:bCs/>
                <w:sz w:val="20"/>
              </w:rPr>
            </w:pPr>
          </w:p>
        </w:tc>
      </w:tr>
      <w:tr w:rsidR="007D63D6" w:rsidTr="00987850">
        <w:trPr>
          <w:cantSplit/>
          <w:trHeight w:val="216"/>
        </w:trPr>
        <w:tc>
          <w:tcPr>
            <w:tcW w:w="6628" w:type="dxa"/>
            <w:gridSpan w:val="2"/>
            <w:vMerge w:val="restart"/>
          </w:tcPr>
          <w:p w:rsidR="007D63D6" w:rsidRPr="007D63D6" w:rsidRDefault="007D63D6" w:rsidP="001A163D">
            <w:pPr>
              <w:pStyle w:val="Committee"/>
              <w:rPr>
                <w:b w:val="0"/>
              </w:rPr>
            </w:pPr>
          </w:p>
        </w:tc>
        <w:tc>
          <w:tcPr>
            <w:tcW w:w="3118" w:type="dxa"/>
          </w:tcPr>
          <w:p w:rsidR="00987850" w:rsidRDefault="00987850" w:rsidP="00987850">
            <w:pPr>
              <w:spacing w:before="0"/>
              <w:rPr>
                <w:b/>
                <w:bCs/>
              </w:rPr>
            </w:pPr>
            <w:r>
              <w:rPr>
                <w:b/>
                <w:bCs/>
              </w:rPr>
              <w:t>Addendum 14 to</w:t>
            </w:r>
          </w:p>
          <w:p w:rsidR="007D63D6" w:rsidRPr="007D63D6" w:rsidRDefault="007D63D6" w:rsidP="00987850">
            <w:pPr>
              <w:spacing w:before="0"/>
              <w:rPr>
                <w:bCs/>
              </w:rPr>
            </w:pPr>
            <w:r>
              <w:rPr>
                <w:b/>
                <w:bCs/>
              </w:rPr>
              <w:t xml:space="preserve">Document </w:t>
            </w:r>
            <w:bookmarkStart w:id="0" w:name="DocRef1"/>
            <w:bookmarkEnd w:id="0"/>
            <w:r w:rsidR="00051635">
              <w:rPr>
                <w:b/>
                <w:bCs/>
              </w:rPr>
              <w:t>WTDC14</w:t>
            </w:r>
            <w:r>
              <w:rPr>
                <w:b/>
                <w:bCs/>
              </w:rPr>
              <w:t>/</w:t>
            </w:r>
            <w:bookmarkStart w:id="1" w:name="DocNo1"/>
            <w:bookmarkEnd w:id="1"/>
            <w:r w:rsidR="00987850">
              <w:rPr>
                <w:b/>
                <w:bCs/>
              </w:rPr>
              <w:t>37</w:t>
            </w:r>
            <w:r w:rsidR="00051635">
              <w:rPr>
                <w:b/>
                <w:bCs/>
              </w:rPr>
              <w:t>-E</w:t>
            </w:r>
          </w:p>
        </w:tc>
      </w:tr>
      <w:tr w:rsidR="007D63D6" w:rsidTr="00721657">
        <w:trPr>
          <w:cantSplit/>
        </w:trPr>
        <w:tc>
          <w:tcPr>
            <w:tcW w:w="6628" w:type="dxa"/>
            <w:gridSpan w:val="2"/>
            <w:vMerge/>
          </w:tcPr>
          <w:p w:rsidR="007D63D6" w:rsidRDefault="007D63D6" w:rsidP="00721657">
            <w:pPr>
              <w:spacing w:after="120"/>
              <w:rPr>
                <w:b/>
                <w:bCs/>
                <w:smallCaps/>
              </w:rPr>
            </w:pPr>
          </w:p>
        </w:tc>
        <w:tc>
          <w:tcPr>
            <w:tcW w:w="3118" w:type="dxa"/>
          </w:tcPr>
          <w:p w:rsidR="007D63D6" w:rsidRPr="006D253B" w:rsidRDefault="00251C0E" w:rsidP="00E66898">
            <w:pPr>
              <w:spacing w:before="0"/>
              <w:rPr>
                <w:b/>
                <w:bCs/>
              </w:rPr>
            </w:pPr>
            <w:bookmarkStart w:id="2" w:name="CreationDate"/>
            <w:bookmarkEnd w:id="2"/>
            <w:r>
              <w:rPr>
                <w:b/>
                <w:bCs/>
              </w:rPr>
              <w:t>11 March</w:t>
            </w:r>
            <w:r w:rsidR="00051635">
              <w:rPr>
                <w:b/>
                <w:bCs/>
              </w:rPr>
              <w:t xml:space="preserve"> 2014</w:t>
            </w:r>
          </w:p>
        </w:tc>
      </w:tr>
      <w:tr w:rsidR="007D63D6" w:rsidTr="00721657">
        <w:trPr>
          <w:cantSplit/>
        </w:trPr>
        <w:tc>
          <w:tcPr>
            <w:tcW w:w="6628" w:type="dxa"/>
            <w:gridSpan w:val="2"/>
            <w:vMerge/>
          </w:tcPr>
          <w:p w:rsidR="007D63D6" w:rsidRDefault="007D63D6" w:rsidP="00721657">
            <w:pPr>
              <w:spacing w:after="120"/>
              <w:rPr>
                <w:b/>
                <w:bCs/>
                <w:smallCaps/>
              </w:rPr>
            </w:pPr>
          </w:p>
        </w:tc>
        <w:tc>
          <w:tcPr>
            <w:tcW w:w="3118" w:type="dxa"/>
          </w:tcPr>
          <w:p w:rsidR="007D63D6" w:rsidRPr="007D63D6" w:rsidRDefault="007D63D6" w:rsidP="007D63D6">
            <w:pPr>
              <w:spacing w:before="0"/>
            </w:pPr>
            <w:r>
              <w:rPr>
                <w:b/>
              </w:rPr>
              <w:t xml:space="preserve">Original: </w:t>
            </w:r>
            <w:bookmarkStart w:id="3" w:name="Original"/>
            <w:bookmarkEnd w:id="3"/>
            <w:r w:rsidR="00051635">
              <w:rPr>
                <w:b/>
              </w:rPr>
              <w:t>English</w:t>
            </w:r>
          </w:p>
        </w:tc>
      </w:tr>
      <w:tr w:rsidR="007D63D6" w:rsidRPr="00312AE6" w:rsidTr="00721657">
        <w:trPr>
          <w:cantSplit/>
        </w:trPr>
        <w:tc>
          <w:tcPr>
            <w:tcW w:w="1950" w:type="dxa"/>
          </w:tcPr>
          <w:p w:rsidR="007D63D6" w:rsidRPr="00312AE6" w:rsidRDefault="007D63D6" w:rsidP="00721657">
            <w:pPr>
              <w:pStyle w:val="Source"/>
              <w:rPr>
                <w:rFonts w:ascii="Verdana" w:hAnsi="Verdana"/>
                <w:bCs/>
                <w:sz w:val="20"/>
              </w:rPr>
            </w:pPr>
          </w:p>
        </w:tc>
        <w:tc>
          <w:tcPr>
            <w:tcW w:w="7796" w:type="dxa"/>
            <w:gridSpan w:val="2"/>
          </w:tcPr>
          <w:p w:rsidR="007D63D6" w:rsidRPr="00312AE6" w:rsidRDefault="007D63D6" w:rsidP="00721657">
            <w:pPr>
              <w:pStyle w:val="Source"/>
              <w:rPr>
                <w:sz w:val="20"/>
              </w:rPr>
            </w:pPr>
          </w:p>
        </w:tc>
      </w:tr>
      <w:tr w:rsidR="007D63D6" w:rsidTr="00721657">
        <w:trPr>
          <w:cantSplit/>
        </w:trPr>
        <w:tc>
          <w:tcPr>
            <w:tcW w:w="1950" w:type="dxa"/>
          </w:tcPr>
          <w:p w:rsidR="007D63D6" w:rsidRPr="009F3EB2" w:rsidRDefault="007D63D6" w:rsidP="001A163D">
            <w:pPr>
              <w:pStyle w:val="Source"/>
            </w:pPr>
            <w:r w:rsidRPr="009F3EB2">
              <w:t>SOURCE:</w:t>
            </w:r>
          </w:p>
        </w:tc>
        <w:tc>
          <w:tcPr>
            <w:tcW w:w="7796" w:type="dxa"/>
            <w:gridSpan w:val="2"/>
          </w:tcPr>
          <w:p w:rsidR="007D63D6" w:rsidRPr="007D63D6" w:rsidRDefault="00051635" w:rsidP="00667A14">
            <w:pPr>
              <w:pStyle w:val="Source"/>
              <w:rPr>
                <w:b w:val="0"/>
                <w:bCs/>
              </w:rPr>
            </w:pPr>
            <w:bookmarkStart w:id="4" w:name="Source"/>
            <w:bookmarkEnd w:id="4"/>
            <w:r>
              <w:rPr>
                <w:b w:val="0"/>
                <w:bCs/>
              </w:rPr>
              <w:t xml:space="preserve">Asia-Pacific </w:t>
            </w:r>
            <w:proofErr w:type="spellStart"/>
            <w:r>
              <w:rPr>
                <w:b w:val="0"/>
                <w:bCs/>
              </w:rPr>
              <w:t>Telecommunity</w:t>
            </w:r>
            <w:proofErr w:type="spellEnd"/>
            <w:r w:rsidR="00025833">
              <w:rPr>
                <w:b w:val="0"/>
                <w:bCs/>
              </w:rPr>
              <w:t xml:space="preserve"> (See Annex </w:t>
            </w:r>
            <w:r w:rsidR="00667A14">
              <w:rPr>
                <w:b w:val="0"/>
                <w:bCs/>
              </w:rPr>
              <w:t>2</w:t>
            </w:r>
            <w:r w:rsidR="00025833">
              <w:rPr>
                <w:b w:val="0"/>
                <w:bCs/>
              </w:rPr>
              <w:t xml:space="preserve"> to Document WTDC14/37)</w:t>
            </w:r>
          </w:p>
        </w:tc>
      </w:tr>
      <w:tr w:rsidR="007D63D6" w:rsidTr="00721657">
        <w:trPr>
          <w:cantSplit/>
        </w:trPr>
        <w:tc>
          <w:tcPr>
            <w:tcW w:w="1950" w:type="dxa"/>
          </w:tcPr>
          <w:p w:rsidR="007D63D6" w:rsidRPr="001A163D" w:rsidRDefault="007D63D6" w:rsidP="001A163D">
            <w:pPr>
              <w:pStyle w:val="Source"/>
            </w:pPr>
            <w:r w:rsidRPr="001A163D">
              <w:t>TITLE:</w:t>
            </w:r>
          </w:p>
        </w:tc>
        <w:tc>
          <w:tcPr>
            <w:tcW w:w="7796" w:type="dxa"/>
            <w:gridSpan w:val="2"/>
          </w:tcPr>
          <w:p w:rsidR="007D63D6" w:rsidRPr="007D63D6" w:rsidRDefault="00E35089" w:rsidP="00685545">
            <w:pPr>
              <w:pStyle w:val="Title1"/>
              <w:spacing w:before="120"/>
              <w:rPr>
                <w:b w:val="0"/>
                <w:bCs/>
                <w:szCs w:val="18"/>
              </w:rPr>
            </w:pPr>
            <w:bookmarkStart w:id="5" w:name="Title"/>
            <w:bookmarkEnd w:id="5"/>
            <w:r>
              <w:rPr>
                <w:b w:val="0"/>
                <w:bCs/>
                <w:szCs w:val="18"/>
              </w:rPr>
              <w:t xml:space="preserve">Proposed </w:t>
            </w:r>
            <w:r w:rsidR="00685545">
              <w:rPr>
                <w:b w:val="0"/>
                <w:bCs/>
                <w:szCs w:val="18"/>
              </w:rPr>
              <w:t>Revision of Resolution 62 (Hyderabad, 2010)</w:t>
            </w:r>
            <w:r w:rsidR="002A2EAF">
              <w:rPr>
                <w:b w:val="0"/>
                <w:bCs/>
                <w:szCs w:val="18"/>
              </w:rPr>
              <w:t xml:space="preserve"> – Measurement concerns related to human exposure to electromagnetic fields</w:t>
            </w:r>
          </w:p>
        </w:tc>
      </w:tr>
    </w:tbl>
    <w:p w:rsidR="00210259" w:rsidRPr="007B3789" w:rsidRDefault="00210259" w:rsidP="007B3789">
      <w:pPr>
        <w:pStyle w:val="Heading1"/>
      </w:pPr>
      <w:bookmarkStart w:id="6" w:name="ProposalNo1"/>
      <w:bookmarkEnd w:id="6"/>
      <w:r w:rsidRPr="007B3789">
        <w:t>1</w:t>
      </w:r>
      <w:r w:rsidRPr="007B3789">
        <w:tab/>
        <w:t>Introduction</w:t>
      </w:r>
    </w:p>
    <w:p w:rsidR="00685545" w:rsidRPr="00571EF1" w:rsidRDefault="00685545" w:rsidP="007B3789">
      <w:pPr>
        <w:rPr>
          <w:rFonts w:eastAsia="Malgun Gothic"/>
          <w:lang w:eastAsia="ko-KR"/>
        </w:rPr>
      </w:pPr>
      <w:r w:rsidRPr="00571EF1">
        <w:rPr>
          <w:rFonts w:eastAsia="Malgun Gothic"/>
          <w:lang w:eastAsia="ko-KR"/>
        </w:rPr>
        <w:t>The WTDC-10 Resolution 62 “</w:t>
      </w:r>
      <w:r w:rsidRPr="00571EF1">
        <w:rPr>
          <w:i/>
        </w:rPr>
        <w:t>Measurement concerns related to human exposure to electromagnetic fields</w:t>
      </w:r>
      <w:r w:rsidRPr="00571EF1">
        <w:rPr>
          <w:rFonts w:eastAsia="Malgun Gothic"/>
          <w:lang w:eastAsia="ko-KR"/>
        </w:rPr>
        <w:t>” has been one of important issues. This Resolution has significant implication to the management of wireless communication system and equipment, especially to developing countries.</w:t>
      </w:r>
    </w:p>
    <w:p w:rsidR="00685545" w:rsidRPr="00571EF1" w:rsidRDefault="00685545" w:rsidP="007B3789">
      <w:pPr>
        <w:rPr>
          <w:rFonts w:eastAsia="Malgun Gothic"/>
          <w:lang w:eastAsia="ko-KR"/>
        </w:rPr>
      </w:pPr>
      <w:r w:rsidRPr="00571EF1">
        <w:rPr>
          <w:rFonts w:eastAsia="Malgun Gothic"/>
          <w:lang w:eastAsia="ko-KR"/>
        </w:rPr>
        <w:t>The WTSA-12, which was held in Dubai, November 2012, updated its Resolution 72 “</w:t>
      </w:r>
      <w:r w:rsidRPr="00571EF1">
        <w:rPr>
          <w:rFonts w:eastAsia="Malgun Gothic"/>
          <w:i/>
          <w:lang w:eastAsia="ko-KR"/>
        </w:rPr>
        <w:t>Measurement concerns related to human exposure to electromagnetic fields</w:t>
      </w:r>
      <w:r w:rsidRPr="00571EF1">
        <w:rPr>
          <w:rFonts w:eastAsia="Malgun Gothic"/>
          <w:lang w:eastAsia="ko-KR"/>
        </w:rPr>
        <w:t xml:space="preserve">”. This major revision of Resolution 72 is served as a concrete step toward making the issue more accessible to developing countries. </w:t>
      </w:r>
    </w:p>
    <w:p w:rsidR="00685545" w:rsidRPr="00571EF1" w:rsidRDefault="00685545" w:rsidP="007B3789">
      <w:r w:rsidRPr="00571EF1">
        <w:t>APT Members consider that with the lack of comprehensive regulatory measures, people, particularly in developing countries, become doubtful about the effect of EMF on their health. Inadequate, in some cases incorrect, information results in increasingly opposing the deployment of radio installations in their neighbourhoods;</w:t>
      </w:r>
    </w:p>
    <w:p w:rsidR="00685545" w:rsidRPr="00571EF1" w:rsidRDefault="00685545" w:rsidP="007B3789">
      <w:r w:rsidRPr="00571EF1">
        <w:t>The effect of EMF to the human has not been gained enough public attention to the hand-held devices. A mobile phone may exert a much stronger EMF to human body than the base stations due to its closeness to the user.</w:t>
      </w:r>
    </w:p>
    <w:p w:rsidR="00685545" w:rsidRPr="00571EF1" w:rsidRDefault="00685545" w:rsidP="00DA5F3B">
      <w:r w:rsidRPr="00571EF1">
        <w:t xml:space="preserve">The work of ITU-T </w:t>
      </w:r>
      <w:r w:rsidR="007B3789">
        <w:t xml:space="preserve">Study Group 5 </w:t>
      </w:r>
      <w:r w:rsidRPr="00571EF1">
        <w:t>on this issue including updating a practical and affordable guideline helps developing countries to deal with this issue effectively.</w:t>
      </w:r>
    </w:p>
    <w:p w:rsidR="00210259" w:rsidRPr="007B3789" w:rsidRDefault="00210259" w:rsidP="007B3789">
      <w:pPr>
        <w:pStyle w:val="Heading1"/>
      </w:pPr>
      <w:r w:rsidRPr="007B3789">
        <w:t>2</w:t>
      </w:r>
      <w:r w:rsidRPr="007B3789">
        <w:tab/>
        <w:t>Proposal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904"/>
      </w:tblGrid>
      <w:tr w:rsidR="007B3789" w:rsidTr="009F2868">
        <w:tc>
          <w:tcPr>
            <w:tcW w:w="1951" w:type="dxa"/>
          </w:tcPr>
          <w:p w:rsidR="007B3789" w:rsidRPr="00F22478" w:rsidRDefault="007B3789" w:rsidP="009F2868">
            <w:pPr>
              <w:jc w:val="both"/>
              <w:rPr>
                <w:rFonts w:eastAsia="Malgun Gothic"/>
                <w:b/>
                <w:lang w:eastAsia="ko-KR"/>
              </w:rPr>
            </w:pPr>
            <w:r>
              <w:rPr>
                <w:rFonts w:cs="Calibri"/>
                <w:b/>
                <w:bCs/>
                <w:szCs w:val="24"/>
              </w:rPr>
              <w:t>ACP/37/17</w:t>
            </w:r>
          </w:p>
        </w:tc>
        <w:tc>
          <w:tcPr>
            <w:tcW w:w="7904" w:type="dxa"/>
          </w:tcPr>
          <w:p w:rsidR="007B3789" w:rsidRDefault="007B3789" w:rsidP="009F2868">
            <w:pPr>
              <w:spacing w:after="120"/>
            </w:pPr>
            <w:r w:rsidRPr="009171AE">
              <w:rPr>
                <w:rFonts w:cs="Calibri"/>
                <w:szCs w:val="24"/>
              </w:rPr>
              <w:t xml:space="preserve">Objective(s): </w:t>
            </w:r>
            <w:r w:rsidR="00025833">
              <w:rPr>
                <w:rFonts w:cs="Calibri"/>
                <w:szCs w:val="24"/>
              </w:rPr>
              <w:t>2</w:t>
            </w:r>
          </w:p>
        </w:tc>
      </w:tr>
    </w:tbl>
    <w:p w:rsidR="007B3789" w:rsidRDefault="007B3789" w:rsidP="007B3789">
      <w:pPr>
        <w:jc w:val="both"/>
        <w:rPr>
          <w:rFonts w:eastAsia="Malgun Gothic"/>
          <w:b/>
          <w:lang w:eastAsia="ko-KR"/>
        </w:rPr>
      </w:pPr>
      <w:r>
        <w:rPr>
          <w:rFonts w:eastAsia="Malgun Gothic"/>
          <w:b/>
          <w:lang w:eastAsia="ko-KR"/>
        </w:rPr>
        <w:t>MO</w:t>
      </w:r>
      <w:r w:rsidRPr="005B6DCD">
        <w:rPr>
          <w:rFonts w:eastAsia="Malgun Gothic"/>
          <w:b/>
          <w:lang w:eastAsia="ko-KR"/>
        </w:rPr>
        <w:t>D</w:t>
      </w:r>
    </w:p>
    <w:p w:rsidR="00E35089" w:rsidRDefault="00685545" w:rsidP="007B3789">
      <w:pPr>
        <w:spacing w:before="240"/>
      </w:pPr>
      <w:r w:rsidRPr="00571EF1">
        <w:t xml:space="preserve">APT Members propose </w:t>
      </w:r>
      <w:r>
        <w:t xml:space="preserve">the revision of </w:t>
      </w:r>
      <w:r w:rsidRPr="00571EF1">
        <w:t>Resolution 62</w:t>
      </w:r>
      <w:r>
        <w:t xml:space="preserve"> as follows:</w:t>
      </w:r>
    </w:p>
    <w:p w:rsidR="00E35089" w:rsidRDefault="00E35089" w:rsidP="002E06CF">
      <w:pPr>
        <w:jc w:val="both"/>
        <w:rPr>
          <w:rFonts w:eastAsia="Malgun Gothic"/>
          <w:lang w:eastAsia="ko-KR"/>
        </w:rPr>
      </w:pPr>
      <w:r w:rsidRPr="005B6DCD">
        <w:rPr>
          <w:rFonts w:eastAsia="Malgun Gothic"/>
          <w:lang w:eastAsia="ko-KR"/>
        </w:rPr>
        <w:br w:type="page"/>
      </w:r>
    </w:p>
    <w:p w:rsidR="00F22478" w:rsidRDefault="00F22478" w:rsidP="002E06CF">
      <w:pPr>
        <w:jc w:val="both"/>
        <w:rPr>
          <w:rFonts w:cs="Calibri"/>
          <w:b/>
          <w:bCs/>
          <w:szCs w:val="24"/>
        </w:rPr>
      </w:pPr>
    </w:p>
    <w:p w:rsidR="00685545" w:rsidRPr="00571EF1" w:rsidRDefault="00685545" w:rsidP="00084DF7">
      <w:pPr>
        <w:pStyle w:val="ResNo"/>
        <w:spacing w:before="120"/>
      </w:pPr>
      <w:r w:rsidRPr="00571EF1">
        <w:t>resolution 62 (</w:t>
      </w:r>
      <w:del w:id="7" w:author="Author">
        <w:r w:rsidRPr="00571EF1" w:rsidDel="00A47A0F">
          <w:delText>H</w:delText>
        </w:r>
        <w:r w:rsidRPr="00571EF1" w:rsidDel="00A47A0F">
          <w:rPr>
            <w:caps w:val="0"/>
          </w:rPr>
          <w:delText>yderabad</w:delText>
        </w:r>
        <w:r w:rsidRPr="00571EF1" w:rsidDel="00A47A0F">
          <w:delText xml:space="preserve">, </w:delText>
        </w:r>
      </w:del>
      <w:ins w:id="8" w:author="BDT" w:date="2014-03-12T11:09:00Z">
        <w:r w:rsidR="008D2801">
          <w:t xml:space="preserve">rEV. </w:t>
        </w:r>
      </w:ins>
      <w:ins w:id="9" w:author="Author">
        <w:r w:rsidRPr="00571EF1">
          <w:rPr>
            <w:caps w:val="0"/>
          </w:rPr>
          <w:t>Dubai, 2014</w:t>
        </w:r>
      </w:ins>
      <w:r w:rsidRPr="00571EF1">
        <w:t>)</w:t>
      </w:r>
    </w:p>
    <w:p w:rsidR="00685545" w:rsidRPr="00571EF1" w:rsidRDefault="00685545" w:rsidP="000A18E5">
      <w:pPr>
        <w:pStyle w:val="Restitle"/>
      </w:pPr>
      <w:r w:rsidRPr="00571EF1">
        <w:t>Measurement concerns related to human exposure to electromagnetic fields</w:t>
      </w:r>
    </w:p>
    <w:p w:rsidR="00685545" w:rsidRPr="00571EF1" w:rsidRDefault="00685545">
      <w:pPr>
        <w:pStyle w:val="Normalaftertitle"/>
      </w:pPr>
      <w:r w:rsidRPr="00571EF1">
        <w:t>The World Telecommunication Development Conference (</w:t>
      </w:r>
      <w:ins w:id="10" w:author="Author">
        <w:r w:rsidRPr="00571EF1">
          <w:t>Dubai, 2014</w:t>
        </w:r>
      </w:ins>
      <w:del w:id="11" w:author="Author">
        <w:r w:rsidRPr="00571EF1" w:rsidDel="00A47A0F">
          <w:delText>Hyderabad, 2010</w:delText>
        </w:r>
      </w:del>
      <w:r w:rsidRPr="00571EF1">
        <w:t>),</w:t>
      </w:r>
    </w:p>
    <w:p w:rsidR="00685545" w:rsidRPr="00571EF1" w:rsidRDefault="00685545" w:rsidP="000A18E5">
      <w:pPr>
        <w:pStyle w:val="Call"/>
      </w:pPr>
      <w:proofErr w:type="gramStart"/>
      <w:r w:rsidRPr="00571EF1">
        <w:t>recalling</w:t>
      </w:r>
      <w:proofErr w:type="gramEnd"/>
    </w:p>
    <w:p w:rsidR="00685545" w:rsidRPr="00571EF1" w:rsidRDefault="00685545" w:rsidP="00E3486A">
      <w:pPr>
        <w:pPrChange w:id="12" w:author="BDT" w:date="2014-03-12T12:42:00Z">
          <w:pPr/>
        </w:pPrChange>
      </w:pPr>
      <w:r w:rsidRPr="00571EF1">
        <w:t>Resolution 72 (</w:t>
      </w:r>
      <w:del w:id="13" w:author="BDT" w:date="2014-03-12T12:42:00Z">
        <w:r w:rsidRPr="00571EF1" w:rsidDel="00E3486A">
          <w:delText>Johannesburg, 2008</w:delText>
        </w:r>
      </w:del>
      <w:bookmarkStart w:id="14" w:name="_GoBack"/>
      <w:bookmarkEnd w:id="14"/>
      <w:ins w:id="15" w:author="Author">
        <w:r w:rsidRPr="00571EF1">
          <w:t>;</w:t>
        </w:r>
      </w:ins>
      <w:ins w:id="16" w:author="BDT" w:date="2014-03-12T11:10:00Z">
        <w:r w:rsidR="008D2801">
          <w:t xml:space="preserve"> Rev.</w:t>
        </w:r>
      </w:ins>
      <w:ins w:id="17" w:author="Author">
        <w:r w:rsidRPr="00571EF1">
          <w:t xml:space="preserve"> Dubai, 2012</w:t>
        </w:r>
      </w:ins>
      <w:r w:rsidRPr="00571EF1">
        <w:t xml:space="preserve">) of the World Telecommunication Standardization Assembly, on measurement concerns related to human exposure to electromagnetic fields (EMF), which calls for close cooperation with the Directors of the other two Bureaux – Telecommunication Development Bureau (BDT) and </w:t>
      </w:r>
      <w:proofErr w:type="spellStart"/>
      <w:r w:rsidRPr="00571EF1">
        <w:t>Radiocommunication</w:t>
      </w:r>
      <w:proofErr w:type="spellEnd"/>
      <w:r w:rsidRPr="00571EF1">
        <w:t xml:space="preserve"> Bureau (BR) – to implement the resolution in view of its importance to developing countries,</w:t>
      </w:r>
    </w:p>
    <w:p w:rsidR="00685545" w:rsidRPr="00571EF1" w:rsidRDefault="00685545" w:rsidP="000A18E5">
      <w:pPr>
        <w:pStyle w:val="Call"/>
      </w:pPr>
      <w:proofErr w:type="gramStart"/>
      <w:r w:rsidRPr="00571EF1">
        <w:t>considering</w:t>
      </w:r>
      <w:proofErr w:type="gramEnd"/>
    </w:p>
    <w:p w:rsidR="00685545" w:rsidRPr="00571EF1" w:rsidRDefault="00685545" w:rsidP="000A18E5">
      <w:r w:rsidRPr="00571EF1">
        <w:rPr>
          <w:i/>
          <w:iCs/>
        </w:rPr>
        <w:t>a)</w:t>
      </w:r>
      <w:r w:rsidRPr="00571EF1">
        <w:tab/>
      </w:r>
      <w:proofErr w:type="gramStart"/>
      <w:r w:rsidRPr="00571EF1">
        <w:t>that</w:t>
      </w:r>
      <w:proofErr w:type="gramEnd"/>
      <w:r w:rsidRPr="00571EF1">
        <w:t xml:space="preserve"> there is a pressing need for information on the potential effects of human exposure to EMF in order to protect humans from such effects;</w:t>
      </w:r>
    </w:p>
    <w:p w:rsidR="00685545" w:rsidRPr="00571EF1" w:rsidRDefault="00685545" w:rsidP="000A18E5">
      <w:r w:rsidRPr="00571EF1">
        <w:rPr>
          <w:i/>
          <w:iCs/>
        </w:rPr>
        <w:t>b)</w:t>
      </w:r>
      <w:r w:rsidRPr="00571EF1">
        <w:tab/>
        <w:t>that there are a number of eminent international bodies involved in establishing measurement methodologies for assessing human exposure to EMF, and these already cooperate with many telecommunication standards bodies, including the ITU Telecommunication Standardization Sector (ITU-T),</w:t>
      </w:r>
    </w:p>
    <w:p w:rsidR="00685545" w:rsidRPr="00571EF1" w:rsidRDefault="00685545" w:rsidP="000A18E5">
      <w:pPr>
        <w:pStyle w:val="Call"/>
      </w:pPr>
      <w:proofErr w:type="gramStart"/>
      <w:r w:rsidRPr="00571EF1">
        <w:t>recognizing</w:t>
      </w:r>
      <w:proofErr w:type="gramEnd"/>
    </w:p>
    <w:p w:rsidR="00685545" w:rsidRPr="00571EF1" w:rsidRDefault="00685545" w:rsidP="005570A8">
      <w:r w:rsidRPr="00571EF1">
        <w:rPr>
          <w:i/>
          <w:iCs/>
        </w:rPr>
        <w:t>a)</w:t>
      </w:r>
      <w:r w:rsidRPr="00571EF1">
        <w:tab/>
        <w:t>that some publications and information about EMF effects on health create doubt among the population, in particular in developing countries</w:t>
      </w:r>
      <w:r w:rsidRPr="00571EF1">
        <w:rPr>
          <w:rStyle w:val="FootnoteReference"/>
        </w:rPr>
        <w:footnoteReference w:customMarkFollows="1" w:id="1"/>
        <w:t>1</w:t>
      </w:r>
      <w:r w:rsidRPr="00571EF1">
        <w:t>, causing these countries to address questions to ITU-T and, currently, to the ITU Telecommunication Development Sector (ITU-D);</w:t>
      </w:r>
    </w:p>
    <w:p w:rsidR="00685545" w:rsidRPr="00571EF1" w:rsidRDefault="00685545" w:rsidP="005570A8">
      <w:pPr>
        <w:rPr>
          <w:ins w:id="18" w:author="Author"/>
        </w:rPr>
      </w:pPr>
      <w:r w:rsidRPr="00571EF1">
        <w:rPr>
          <w:i/>
          <w:iCs/>
        </w:rPr>
        <w:t>b)</w:t>
      </w:r>
      <w:r w:rsidRPr="00571EF1">
        <w:tab/>
      </w:r>
      <w:proofErr w:type="gramStart"/>
      <w:r w:rsidRPr="00571EF1">
        <w:t>that</w:t>
      </w:r>
      <w:proofErr w:type="gramEnd"/>
      <w:r w:rsidRPr="00571EF1">
        <w:t xml:space="preserve">, </w:t>
      </w:r>
      <w:del w:id="19" w:author="Author">
        <w:r w:rsidRPr="00571EF1" w:rsidDel="003B4C1B">
          <w:delText>in the absence of</w:delText>
        </w:r>
      </w:del>
      <w:ins w:id="20" w:author="Author">
        <w:r w:rsidRPr="00571EF1">
          <w:t>lacking a comprehensive</w:t>
        </w:r>
      </w:ins>
      <w:r w:rsidRPr="00571EF1">
        <w:t xml:space="preserve"> </w:t>
      </w:r>
      <w:del w:id="21" w:author="Author">
        <w:r w:rsidRPr="00571EF1" w:rsidDel="00DF2D95">
          <w:delText>regulation</w:delText>
        </w:r>
      </w:del>
      <w:ins w:id="22" w:author="Author">
        <w:del w:id="23" w:author="Author">
          <w:r w:rsidRPr="00571EF1" w:rsidDel="00DF2D95">
            <w:delText xml:space="preserve"> </w:delText>
          </w:r>
        </w:del>
        <w:r w:rsidRPr="00571EF1">
          <w:t>regulatory measures</w:t>
        </w:r>
      </w:ins>
      <w:r w:rsidRPr="00571EF1">
        <w:t xml:space="preserve">, people, particularly in developing countries, become </w:t>
      </w:r>
      <w:del w:id="24" w:author="Author">
        <w:r w:rsidRPr="00571EF1" w:rsidDel="003B4C1B">
          <w:delText xml:space="preserve">more and more </w:delText>
        </w:r>
      </w:del>
      <w:r w:rsidRPr="00571EF1">
        <w:t xml:space="preserve">doubtful </w:t>
      </w:r>
      <w:ins w:id="25" w:author="Author">
        <w:r w:rsidRPr="00571EF1">
          <w:t xml:space="preserve">about the effect of EMF on their health. Inadequate, in some cases incorrect, information results </w:t>
        </w:r>
      </w:ins>
      <w:del w:id="26" w:author="Author">
        <w:r w:rsidRPr="00571EF1" w:rsidDel="003B4C1B">
          <w:delText>and are</w:delText>
        </w:r>
      </w:del>
      <w:ins w:id="27" w:author="Author">
        <w:r w:rsidRPr="00571EF1">
          <w:t>in</w:t>
        </w:r>
      </w:ins>
      <w:r w:rsidRPr="00571EF1">
        <w:t xml:space="preserve"> increasingly opposing the deployment of radio installations in their neighbourhoods;</w:t>
      </w:r>
    </w:p>
    <w:p w:rsidR="00685545" w:rsidRPr="00571EF1" w:rsidRDefault="00685545" w:rsidP="005570A8">
      <w:proofErr w:type="gramStart"/>
      <w:ins w:id="28" w:author="Author">
        <w:r w:rsidRPr="00571EF1">
          <w:rPr>
            <w:i/>
          </w:rPr>
          <w:t>c</w:t>
        </w:r>
        <w:proofErr w:type="gramEnd"/>
        <w:r w:rsidRPr="00571EF1">
          <w:t>)</w:t>
        </w:r>
        <w:r w:rsidRPr="00571EF1">
          <w:tab/>
          <w:t>that, the effect of EMF to the human has not been gained enough public attention to the hand-held devices. A mobile phone may exert a much stronger EMF to human body than the base stations due to its closeness to the user.</w:t>
        </w:r>
      </w:ins>
    </w:p>
    <w:p w:rsidR="00685545" w:rsidRPr="00571EF1" w:rsidRDefault="00685545" w:rsidP="005570A8">
      <w:del w:id="29" w:author="Author">
        <w:r w:rsidRPr="00571EF1" w:rsidDel="00DF1FF7">
          <w:rPr>
            <w:i/>
            <w:iCs/>
          </w:rPr>
          <w:delText>c</w:delText>
        </w:r>
      </w:del>
      <w:ins w:id="30" w:author="Author">
        <w:r w:rsidRPr="00571EF1">
          <w:rPr>
            <w:i/>
            <w:iCs/>
          </w:rPr>
          <w:t>d</w:t>
        </w:r>
      </w:ins>
      <w:r w:rsidRPr="00571EF1">
        <w:rPr>
          <w:i/>
          <w:iCs/>
        </w:rPr>
        <w:t>)</w:t>
      </w:r>
      <w:r w:rsidRPr="00571EF1">
        <w:tab/>
        <w:t>that the cost of the equipment used for assessing human exposure to EMF is very high and difficult for many developing countries to afford;</w:t>
      </w:r>
    </w:p>
    <w:p w:rsidR="00685545" w:rsidRPr="00571EF1" w:rsidRDefault="00685545" w:rsidP="005570A8">
      <w:pPr>
        <w:rPr>
          <w:ins w:id="31" w:author="Author"/>
        </w:rPr>
      </w:pPr>
      <w:del w:id="32" w:author="Author">
        <w:r w:rsidRPr="00571EF1" w:rsidDel="00DF1FF7">
          <w:rPr>
            <w:i/>
          </w:rPr>
          <w:delText>d</w:delText>
        </w:r>
      </w:del>
      <w:ins w:id="33" w:author="Author">
        <w:r w:rsidRPr="00571EF1">
          <w:rPr>
            <w:i/>
          </w:rPr>
          <w:t>e</w:t>
        </w:r>
      </w:ins>
      <w:r w:rsidRPr="00571EF1">
        <w:rPr>
          <w:i/>
        </w:rPr>
        <w:t>)</w:t>
      </w:r>
      <w:r w:rsidRPr="00571EF1">
        <w:tab/>
        <w:t>that implementing such measurement is essential for many regulatory authorities in developing countries, in order to monitor the limits for human exposure to radio-frequency energy, and that they are called upon to ensure those limits are met in order to license different services,</w:t>
      </w:r>
    </w:p>
    <w:p w:rsidR="00685545" w:rsidRPr="00571EF1" w:rsidRDefault="00685545" w:rsidP="005570A8">
      <w:ins w:id="34" w:author="Author">
        <w:del w:id="35" w:author="Author">
          <w:r w:rsidRPr="00571EF1" w:rsidDel="0052274E">
            <w:rPr>
              <w:i/>
            </w:rPr>
            <w:delText>e</w:delText>
          </w:r>
        </w:del>
        <w:r w:rsidRPr="00571EF1">
          <w:rPr>
            <w:i/>
          </w:rPr>
          <w:t>f)</w:t>
        </w:r>
        <w:r w:rsidRPr="00571EF1">
          <w:tab/>
          <w:t xml:space="preserve">that the work of ITU-T </w:t>
        </w:r>
        <w:del w:id="36" w:author="BDT" w:date="2014-03-05T12:00:00Z">
          <w:r w:rsidRPr="00571EF1" w:rsidDel="002F3DF9">
            <w:delText>SG5</w:delText>
          </w:r>
        </w:del>
      </w:ins>
      <w:ins w:id="37" w:author="BDT" w:date="2014-03-05T12:00:00Z">
        <w:r w:rsidR="002F3DF9">
          <w:t>Study Group 5</w:t>
        </w:r>
      </w:ins>
      <w:ins w:id="38" w:author="Author">
        <w:r w:rsidRPr="00571EF1">
          <w:t xml:space="preserve"> on this issue including updating a practical and affordable guideline to help developing countries to deal with this issue effectively.</w:t>
        </w:r>
      </w:ins>
    </w:p>
    <w:p w:rsidR="00685545" w:rsidRPr="00571EF1" w:rsidRDefault="00685545" w:rsidP="000A18E5">
      <w:pPr>
        <w:pStyle w:val="Call"/>
      </w:pPr>
      <w:proofErr w:type="gramStart"/>
      <w:r w:rsidRPr="00571EF1">
        <w:lastRenderedPageBreak/>
        <w:t>resolves</w:t>
      </w:r>
      <w:proofErr w:type="gramEnd"/>
      <w:r w:rsidRPr="00571EF1">
        <w:t xml:space="preserve"> to instruct the Director of the Telecommunication Development Bureau</w:t>
      </w:r>
    </w:p>
    <w:p w:rsidR="00685545" w:rsidRPr="00571EF1" w:rsidRDefault="00685545" w:rsidP="005570A8">
      <w:proofErr w:type="gramStart"/>
      <w:r w:rsidRPr="00571EF1">
        <w:rPr>
          <w:iCs/>
        </w:rPr>
        <w:t>in</w:t>
      </w:r>
      <w:proofErr w:type="gramEnd"/>
      <w:r w:rsidRPr="00571EF1">
        <w:rPr>
          <w:iCs/>
        </w:rPr>
        <w:t xml:space="preserve"> response to the needs of the developing countries and consistent with the substance of Resolution </w:t>
      </w:r>
      <w:r w:rsidRPr="00571EF1">
        <w:t>72</w:t>
      </w:r>
      <w:r w:rsidRPr="00571EF1">
        <w:rPr>
          <w:iCs/>
        </w:rPr>
        <w:t xml:space="preserve"> (Johannesburg, 2008), and in close cooperation with the Director of BR and Director of the Telecommunication Standardization Bureau (TSB):</w:t>
      </w:r>
    </w:p>
    <w:p w:rsidR="00685545" w:rsidRPr="00571EF1" w:rsidRDefault="00685545" w:rsidP="000A18E5">
      <w:pPr>
        <w:pStyle w:val="enumlev1"/>
      </w:pPr>
      <w:r w:rsidRPr="00571EF1">
        <w:t>1</w:t>
      </w:r>
      <w:r w:rsidRPr="00571EF1">
        <w:tab/>
        <w:t>to give the necessary priority to this subject and, within the available resources, to allocate the necessary funds for expediting execution of this resolution;</w:t>
      </w:r>
    </w:p>
    <w:p w:rsidR="00685545" w:rsidRPr="00571EF1" w:rsidRDefault="00685545" w:rsidP="000A18E5">
      <w:pPr>
        <w:pStyle w:val="enumlev1"/>
      </w:pPr>
      <w:r w:rsidRPr="00571EF1">
        <w:t>2</w:t>
      </w:r>
      <w:r w:rsidRPr="00571EF1">
        <w:tab/>
        <w:t xml:space="preserve">to ensure that Programme 1 determines the requirements of developing countries and their regulatory authorities (at regional level) in relation to this resolution, contributes to studies on this subject, takes an active part in the work of the relevant ITU </w:t>
      </w:r>
      <w:proofErr w:type="spellStart"/>
      <w:r w:rsidRPr="00571EF1">
        <w:t>Radiocommunication</w:t>
      </w:r>
      <w:proofErr w:type="spellEnd"/>
      <w:r w:rsidRPr="00571EF1">
        <w:t xml:space="preserve"> Sector (ITU-R) and ITU-T study groups, and submits written contributions on the results of its work in this regard, plus any proposals it deems necessary, to ITU-D Study Group 2,</w:t>
      </w:r>
    </w:p>
    <w:p w:rsidR="00685545" w:rsidRPr="00571EF1" w:rsidRDefault="00685545" w:rsidP="000A18E5">
      <w:pPr>
        <w:pStyle w:val="Call"/>
      </w:pPr>
      <w:proofErr w:type="gramStart"/>
      <w:r w:rsidRPr="00571EF1">
        <w:t>instructs</w:t>
      </w:r>
      <w:proofErr w:type="gramEnd"/>
      <w:r w:rsidRPr="00571EF1">
        <w:t xml:space="preserve"> Study Group 1</w:t>
      </w:r>
    </w:p>
    <w:p w:rsidR="00685545" w:rsidRPr="00571EF1" w:rsidRDefault="00685545" w:rsidP="005570A8">
      <w:r w:rsidRPr="00571EF1">
        <w:t>within the framework of their Questions,</w:t>
      </w:r>
      <w:ins w:id="39" w:author="Author">
        <w:r w:rsidRPr="00571EF1">
          <w:t xml:space="preserve"> including Question 23/1</w:t>
        </w:r>
      </w:ins>
      <w:r w:rsidRPr="00571EF1">
        <w:t xml:space="preserve"> to cooperate with ITU</w:t>
      </w:r>
      <w:r w:rsidRPr="00571EF1">
        <w:noBreakHyphen/>
        <w:t>T Study Group 5 and ITU-R Study Groups 1, 5 and 6, in order to achieve the following goals</w:t>
      </w:r>
      <w:ins w:id="40" w:author="Author">
        <w:r w:rsidRPr="00571EF1">
          <w:t xml:space="preserve"> to</w:t>
        </w:r>
      </w:ins>
      <w:r w:rsidRPr="00571EF1">
        <w:t>:</w:t>
      </w:r>
    </w:p>
    <w:p w:rsidR="00685545" w:rsidRPr="00571EF1" w:rsidRDefault="00685545" w:rsidP="000A18E5">
      <w:pPr>
        <w:pStyle w:val="enumlev1"/>
        <w:rPr>
          <w:ins w:id="41" w:author="Author"/>
        </w:rPr>
      </w:pPr>
      <w:r w:rsidRPr="00571EF1">
        <w:t>•</w:t>
      </w:r>
      <w:r w:rsidRPr="00571EF1">
        <w:tab/>
      </w:r>
      <w:ins w:id="42" w:author="Author">
        <w:r w:rsidRPr="00571EF1">
          <w:t>to collaborate with ITU-T Study Group 5 in particular in the development of a Handbook, including implementation guidelines, on the subject of human exposure to EMF issues, as a matter of high priority;</w:t>
        </w:r>
      </w:ins>
    </w:p>
    <w:p w:rsidR="00685545" w:rsidRPr="00571EF1" w:rsidRDefault="00685545" w:rsidP="000A18E5">
      <w:pPr>
        <w:pStyle w:val="enumlev1"/>
      </w:pPr>
      <w:ins w:id="43" w:author="Author">
        <w:r w:rsidRPr="00571EF1">
          <w:t>•</w:t>
        </w:r>
        <w:r w:rsidRPr="00571EF1">
          <w:tab/>
        </w:r>
      </w:ins>
      <w:r w:rsidRPr="00571EF1">
        <w:t xml:space="preserve">prepare an annual report on the progress of work in this area in respect </w:t>
      </w:r>
      <w:r w:rsidRPr="00571EF1">
        <w:rPr>
          <w:iCs/>
        </w:rPr>
        <w:t>of their</w:t>
      </w:r>
      <w:r w:rsidRPr="00571EF1">
        <w:t xml:space="preserve"> Question</w:t>
      </w:r>
      <w:r w:rsidRPr="00571EF1">
        <w:rPr>
          <w:iCs/>
        </w:rPr>
        <w:t>s</w:t>
      </w:r>
      <w:r w:rsidRPr="00571EF1">
        <w:t>;</w:t>
      </w:r>
    </w:p>
    <w:p w:rsidR="00685545" w:rsidRPr="00571EF1" w:rsidRDefault="00685545" w:rsidP="000A18E5">
      <w:pPr>
        <w:pStyle w:val="enumlev1"/>
      </w:pPr>
      <w:r w:rsidRPr="00571EF1">
        <w:t>•</w:t>
      </w:r>
      <w:r w:rsidRPr="00571EF1">
        <w:tab/>
        <w:t>contribute to the organization of any seminars on this subject;</w:t>
      </w:r>
    </w:p>
    <w:p w:rsidR="00685545" w:rsidRPr="00571EF1" w:rsidRDefault="00685545" w:rsidP="00EB10B9">
      <w:pPr>
        <w:pStyle w:val="enumlev1"/>
      </w:pPr>
      <w:r w:rsidRPr="00571EF1">
        <w:t>•</w:t>
      </w:r>
      <w:r w:rsidRPr="00571EF1">
        <w:tab/>
        <w:t>contribute to preparation of the Guide on the use of ITU-T publications on achieving electromagnetic compatibility and safety, and publications relating to measurement methodologies, the need for measurements to be performed by a "Qualified Radio Engineer" and the criteria for a "Qualified Radio Engineer", and system specifications.</w:t>
      </w:r>
    </w:p>
    <w:p w:rsidR="00685545" w:rsidRDefault="00685545" w:rsidP="002E06CF">
      <w:pPr>
        <w:jc w:val="both"/>
        <w:rPr>
          <w:rFonts w:eastAsia="Malgun Gothic"/>
          <w:b/>
          <w:lang w:eastAsia="ko-KR"/>
        </w:rPr>
      </w:pPr>
    </w:p>
    <w:p w:rsidR="00C14102" w:rsidRPr="00C14102" w:rsidRDefault="00C14102" w:rsidP="00C14102">
      <w:pPr>
        <w:jc w:val="center"/>
        <w:rPr>
          <w:rFonts w:eastAsia="Malgun Gothic"/>
          <w:bCs/>
          <w:lang w:eastAsia="ko-KR"/>
        </w:rPr>
      </w:pPr>
      <w:r w:rsidRPr="00C14102">
        <w:rPr>
          <w:rFonts w:eastAsia="Malgun Gothic"/>
          <w:bCs/>
          <w:lang w:eastAsia="ko-KR"/>
        </w:rPr>
        <w:t>_______________________</w:t>
      </w:r>
    </w:p>
    <w:sectPr w:rsidR="00C14102" w:rsidRPr="00C14102" w:rsidSect="00B37866">
      <w:headerReference w:type="even" r:id="rId10"/>
      <w:headerReference w:type="default" r:id="rId11"/>
      <w:footerReference w:type="even" r:id="rId12"/>
      <w:footerReference w:type="default" r:id="rId13"/>
      <w:headerReference w:type="first" r:id="rId14"/>
      <w:footerReference w:type="first" r:id="rId15"/>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0998" w:rsidRDefault="00810998">
      <w:r>
        <w:separator/>
      </w:r>
    </w:p>
  </w:endnote>
  <w:endnote w:type="continuationSeparator" w:id="0">
    <w:p w:rsidR="00810998" w:rsidRDefault="00810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SimHei">
    <w:altName w:val="黑体"/>
    <w:panose1 w:val="02010609060101010101"/>
    <w:charset w:val="86"/>
    <w:family w:val="modern"/>
    <w:pitch w:val="fixed"/>
    <w:sig w:usb0="800002BF" w:usb1="38CF7CFA" w:usb2="00000016" w:usb3="00000000" w:csb0="00040001" w:csb1="00000000"/>
  </w:font>
  <w:font w:name="Simplified Arabic">
    <w:panose1 w:val="02020603050405020304"/>
    <w:charset w:val="00"/>
    <w:family w:val="roman"/>
    <w:pitch w:val="variable"/>
    <w:sig w:usb0="00002003" w:usb1="00000000" w:usb2="00000000" w:usb3="00000000" w:csb0="0000004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E9E" w:rsidRDefault="00467E9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657" w:rsidRPr="00467E9E" w:rsidRDefault="00721657" w:rsidP="00467E9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657" w:rsidRPr="006C1F18" w:rsidRDefault="00721657" w:rsidP="00210259">
    <w:pPr>
      <w:pStyle w:val="FirstFooter"/>
      <w:pBdr>
        <w:top w:val="single" w:sz="4" w:space="3" w:color="auto"/>
      </w:pBdr>
      <w:tabs>
        <w:tab w:val="left" w:pos="1559"/>
        <w:tab w:val="left" w:pos="3828"/>
      </w:tabs>
      <w:ind w:left="3827" w:hanging="3827"/>
      <w:rPr>
        <w:sz w:val="18"/>
        <w:szCs w:val="18"/>
        <w:lang w:val="en-US"/>
      </w:rPr>
    </w:pPr>
    <w:r w:rsidRPr="006C1F18">
      <w:rPr>
        <w:sz w:val="18"/>
        <w:szCs w:val="18"/>
        <w:lang w:val="en-US"/>
      </w:rPr>
      <w:t>Contact:</w:t>
    </w:r>
    <w:r w:rsidRPr="006C1F18">
      <w:rPr>
        <w:sz w:val="18"/>
        <w:szCs w:val="18"/>
        <w:lang w:val="en-US"/>
      </w:rPr>
      <w:tab/>
      <w:t>Name/Organization/Entity:</w:t>
    </w:r>
    <w:r w:rsidRPr="006C1F18">
      <w:rPr>
        <w:sz w:val="18"/>
        <w:szCs w:val="18"/>
        <w:lang w:val="en-US"/>
      </w:rPr>
      <w:tab/>
    </w:r>
    <w:bookmarkStart w:id="46" w:name="OrgName"/>
    <w:bookmarkEnd w:id="46"/>
    <w:r w:rsidR="00051635">
      <w:rPr>
        <w:sz w:val="18"/>
        <w:szCs w:val="18"/>
        <w:lang w:val="en-US"/>
      </w:rPr>
      <w:t>Toshiyuki Yama</w:t>
    </w:r>
    <w:r w:rsidR="00210259">
      <w:rPr>
        <w:sz w:val="18"/>
        <w:szCs w:val="18"/>
        <w:lang w:val="en-US"/>
      </w:rPr>
      <w:t xml:space="preserve">da, Asia-Pacific </w:t>
    </w:r>
    <w:proofErr w:type="spellStart"/>
    <w:r w:rsidR="00210259">
      <w:rPr>
        <w:sz w:val="18"/>
        <w:szCs w:val="18"/>
        <w:lang w:val="en-US"/>
      </w:rPr>
      <w:t>Telecommunity</w:t>
    </w:r>
    <w:proofErr w:type="spellEnd"/>
    <w:del w:id="47" w:author="BDT" w:date="2014-02-20T10:10:00Z">
      <w:r w:rsidR="00210259" w:rsidDel="009171AE">
        <w:rPr>
          <w:sz w:val="18"/>
          <w:szCs w:val="18"/>
          <w:lang w:val="en-US"/>
        </w:rPr>
        <w:delText>,</w:delText>
      </w:r>
    </w:del>
  </w:p>
  <w:p w:rsidR="00721657" w:rsidRPr="00A70BC6" w:rsidRDefault="00721657" w:rsidP="00245D0F">
    <w:pPr>
      <w:pStyle w:val="FirstFooter"/>
      <w:tabs>
        <w:tab w:val="left" w:pos="1559"/>
        <w:tab w:val="left" w:pos="3828"/>
      </w:tabs>
      <w:ind w:firstLine="1559"/>
      <w:rPr>
        <w:sz w:val="18"/>
        <w:szCs w:val="18"/>
        <w:lang w:val="en-US"/>
      </w:rPr>
    </w:pPr>
    <w:r w:rsidRPr="00A70BC6">
      <w:rPr>
        <w:sz w:val="18"/>
        <w:szCs w:val="18"/>
        <w:lang w:val="en-US"/>
      </w:rPr>
      <w:t>Phone number:</w:t>
    </w:r>
    <w:r w:rsidRPr="00A70BC6">
      <w:rPr>
        <w:sz w:val="18"/>
        <w:szCs w:val="18"/>
        <w:lang w:val="en-US"/>
      </w:rPr>
      <w:tab/>
    </w:r>
    <w:bookmarkStart w:id="48" w:name="PhoneNo"/>
    <w:bookmarkEnd w:id="48"/>
    <w:r w:rsidR="00051635">
      <w:rPr>
        <w:sz w:val="18"/>
        <w:szCs w:val="18"/>
        <w:lang w:val="en-US"/>
      </w:rPr>
      <w:t>+66</w:t>
    </w:r>
    <w:r w:rsidR="00210259">
      <w:rPr>
        <w:sz w:val="18"/>
        <w:szCs w:val="18"/>
        <w:lang w:val="en-US"/>
      </w:rPr>
      <w:t xml:space="preserve"> </w:t>
    </w:r>
    <w:r w:rsidR="00051635">
      <w:rPr>
        <w:sz w:val="18"/>
        <w:szCs w:val="18"/>
        <w:lang w:val="en-US"/>
      </w:rPr>
      <w:t>2</w:t>
    </w:r>
    <w:r w:rsidR="007E195A">
      <w:rPr>
        <w:sz w:val="18"/>
        <w:szCs w:val="18"/>
        <w:lang w:val="en-US"/>
      </w:rPr>
      <w:t xml:space="preserve"> </w:t>
    </w:r>
    <w:r w:rsidR="00051635">
      <w:rPr>
        <w:sz w:val="18"/>
        <w:szCs w:val="18"/>
        <w:lang w:val="en-US"/>
      </w:rPr>
      <w:t>5730044</w:t>
    </w:r>
  </w:p>
  <w:p w:rsidR="00721657" w:rsidRPr="00051635" w:rsidRDefault="00721657" w:rsidP="00245D0F">
    <w:pPr>
      <w:pStyle w:val="FirstFooter"/>
      <w:tabs>
        <w:tab w:val="left" w:pos="1559"/>
        <w:tab w:val="left" w:pos="3828"/>
      </w:tabs>
      <w:ind w:firstLine="1559"/>
      <w:rPr>
        <w:sz w:val="18"/>
        <w:szCs w:val="18"/>
        <w:lang w:val="en-US"/>
      </w:rPr>
    </w:pPr>
    <w:r w:rsidRPr="00F938F7">
      <w:rPr>
        <w:sz w:val="18"/>
        <w:szCs w:val="18"/>
        <w:lang w:val="en-US"/>
      </w:rPr>
      <w:t>E-mail:</w:t>
    </w:r>
    <w:r w:rsidRPr="00F938F7">
      <w:rPr>
        <w:sz w:val="18"/>
        <w:szCs w:val="18"/>
        <w:lang w:val="en-US"/>
      </w:rPr>
      <w:tab/>
    </w:r>
    <w:bookmarkStart w:id="49" w:name="Email"/>
    <w:bookmarkEnd w:id="49"/>
    <w:r w:rsidR="00210259">
      <w:rPr>
        <w:sz w:val="18"/>
        <w:szCs w:val="18"/>
        <w:lang w:val="en-US"/>
      </w:rPr>
      <w:fldChar w:fldCharType="begin"/>
    </w:r>
    <w:r w:rsidR="00210259">
      <w:rPr>
        <w:sz w:val="18"/>
        <w:szCs w:val="18"/>
        <w:lang w:val="en-US"/>
      </w:rPr>
      <w:instrText xml:space="preserve"> HYPERLINK "mailto:aptwtdc@apt.int" </w:instrText>
    </w:r>
    <w:r w:rsidR="00210259">
      <w:rPr>
        <w:sz w:val="18"/>
        <w:szCs w:val="18"/>
        <w:lang w:val="en-US"/>
      </w:rPr>
      <w:fldChar w:fldCharType="separate"/>
    </w:r>
    <w:r w:rsidR="00210259" w:rsidRPr="00E2077E">
      <w:rPr>
        <w:rStyle w:val="Hyperlink"/>
        <w:sz w:val="18"/>
        <w:szCs w:val="18"/>
        <w:lang w:val="en-US"/>
      </w:rPr>
      <w:t>aptwtdc@apt.int</w:t>
    </w:r>
    <w:r w:rsidR="00210259">
      <w:rPr>
        <w:sz w:val="18"/>
        <w:szCs w:val="18"/>
        <w:lang w:val="en-US"/>
      </w:rPr>
      <w:fldChar w:fldCharType="end"/>
    </w:r>
    <w:r w:rsidR="00210259">
      <w:rPr>
        <w:sz w:val="18"/>
        <w:szCs w:val="18"/>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0998" w:rsidRDefault="00810998">
      <w:r>
        <w:t>____________________</w:t>
      </w:r>
    </w:p>
  </w:footnote>
  <w:footnote w:type="continuationSeparator" w:id="0">
    <w:p w:rsidR="00810998" w:rsidRDefault="00810998">
      <w:r>
        <w:continuationSeparator/>
      </w:r>
    </w:p>
  </w:footnote>
  <w:footnote w:id="1">
    <w:p w:rsidR="00685545" w:rsidRDefault="00685545" w:rsidP="000A18E5">
      <w:pPr>
        <w:pStyle w:val="FootnoteText"/>
      </w:pPr>
      <w:r>
        <w:rPr>
          <w:rStyle w:val="FootnoteReference"/>
        </w:rPr>
        <w:t>1</w:t>
      </w:r>
      <w:r>
        <w:tab/>
      </w:r>
      <w:r w:rsidRPr="002F3DF9">
        <w:rPr>
          <w:sz w:val="22"/>
          <w:szCs w:val="22"/>
        </w:rPr>
        <w:t xml:space="preserve">These include the least developed countries, </w:t>
      </w:r>
      <w:proofErr w:type="gramStart"/>
      <w:r w:rsidRPr="002F3DF9">
        <w:rPr>
          <w:sz w:val="22"/>
          <w:szCs w:val="22"/>
        </w:rPr>
        <w:t>small island</w:t>
      </w:r>
      <w:proofErr w:type="gramEnd"/>
      <w:r w:rsidRPr="002F3DF9">
        <w:rPr>
          <w:sz w:val="22"/>
          <w:szCs w:val="22"/>
        </w:rPr>
        <w:t xml:space="preserve"> </w:t>
      </w:r>
      <w:r w:rsidRPr="002F3DF9">
        <w:rPr>
          <w:iCs/>
          <w:sz w:val="22"/>
          <w:szCs w:val="22"/>
        </w:rPr>
        <w:t>developing states, landlocked developing countries and countries with economies in transition.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E9E" w:rsidRDefault="00467E9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657" w:rsidRPr="00005791" w:rsidRDefault="007D63D6" w:rsidP="00210259">
    <w:pPr>
      <w:pStyle w:val="Header"/>
      <w:tabs>
        <w:tab w:val="center" w:pos="4820"/>
        <w:tab w:val="right" w:pos="9639"/>
      </w:tabs>
      <w:jc w:val="left"/>
      <w:rPr>
        <w:rStyle w:val="PageNumber"/>
      </w:rPr>
    </w:pPr>
    <w:r>
      <w:tab/>
    </w:r>
    <w:bookmarkStart w:id="44" w:name="DocRef2"/>
    <w:bookmarkEnd w:id="44"/>
    <w:r w:rsidR="00051635">
      <w:t>WTDC14</w:t>
    </w:r>
    <w:r w:rsidR="00AF605F">
      <w:t>/</w:t>
    </w:r>
    <w:bookmarkStart w:id="45" w:name="DocNo2"/>
    <w:bookmarkEnd w:id="45"/>
    <w:r w:rsidR="00210259">
      <w:t>37</w:t>
    </w:r>
    <w:r w:rsidR="00F22478">
      <w:t>(Add.14)</w:t>
    </w:r>
    <w:r w:rsidR="00051635">
      <w:t>-E</w:t>
    </w:r>
    <w:r w:rsidR="00721657">
      <w:tab/>
      <w:t xml:space="preserve">Page </w:t>
    </w:r>
    <w:sdt>
      <w:sdtPr>
        <w:id w:val="637703110"/>
        <w:docPartObj>
          <w:docPartGallery w:val="Page Numbers (Top of Page)"/>
          <w:docPartUnique/>
        </w:docPartObj>
      </w:sdtPr>
      <w:sdtEndPr/>
      <w:sdtContent>
        <w:r w:rsidR="00721657">
          <w:fldChar w:fldCharType="begin"/>
        </w:r>
        <w:r w:rsidR="00721657">
          <w:instrText xml:space="preserve"> PAGE   \* MERGEFORMAT </w:instrText>
        </w:r>
        <w:r w:rsidR="00721657">
          <w:fldChar w:fldCharType="separate"/>
        </w:r>
        <w:r w:rsidR="00E3486A">
          <w:rPr>
            <w:noProof/>
          </w:rPr>
          <w:t>3</w:t>
        </w:r>
        <w:r w:rsidR="00721657">
          <w:rPr>
            <w:noProof/>
          </w:rPr>
          <w:fldChar w:fldCharType="end"/>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E9E" w:rsidRDefault="00467E9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F2A84"/>
    <w:multiLevelType w:val="hybridMultilevel"/>
    <w:tmpl w:val="32B26620"/>
    <w:lvl w:ilvl="0" w:tplc="36944DF6">
      <w:start w:val="1"/>
      <w:numFmt w:val="lowerRoman"/>
      <w:lvlText w:val="%1)"/>
      <w:lvlJc w:val="left"/>
      <w:pPr>
        <w:ind w:left="1080" w:hanging="360"/>
      </w:pPr>
      <w:rPr>
        <w:rFonts w:ascii="Calibri" w:eastAsia="Calibri" w:hAnsi="Calibri" w:cs="Times New Roman"/>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10943108"/>
    <w:multiLevelType w:val="hybridMultilevel"/>
    <w:tmpl w:val="5B9CD2A6"/>
    <w:lvl w:ilvl="0" w:tplc="36944DF6">
      <w:start w:val="1"/>
      <w:numFmt w:val="lowerRoman"/>
      <w:lvlText w:val="%1)"/>
      <w:lvlJc w:val="left"/>
      <w:pPr>
        <w:ind w:left="720" w:hanging="360"/>
      </w:pPr>
      <w:rPr>
        <w:rFonts w:ascii="Calibri" w:eastAsia="Calibri" w:hAnsi="Calibri" w:cs="Times New Roman" w:hint="default"/>
      </w:rPr>
    </w:lvl>
    <w:lvl w:ilvl="1" w:tplc="36944DF6">
      <w:start w:val="1"/>
      <w:numFmt w:val="lowerRoman"/>
      <w:lvlText w:val="%2)"/>
      <w:lvlJc w:val="left"/>
      <w:pPr>
        <w:ind w:left="1440" w:hanging="360"/>
      </w:pPr>
      <w:rPr>
        <w:rFonts w:ascii="Calibri" w:eastAsia="Calibri" w:hAnsi="Calibri" w:cs="Times New Roman"/>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83F53B6"/>
    <w:multiLevelType w:val="hybridMultilevel"/>
    <w:tmpl w:val="B6F2D5AE"/>
    <w:lvl w:ilvl="0" w:tplc="FCE0E15A">
      <w:start w:val="1"/>
      <w:numFmt w:val="lowerLetter"/>
      <w:lvlText w:val="%1)"/>
      <w:lvlJc w:val="left"/>
      <w:pPr>
        <w:ind w:left="360" w:hanging="360"/>
      </w:pPr>
      <w:rPr>
        <w:rFonts w:hint="default"/>
        <w:i/>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635"/>
    <w:rsid w:val="00003AE9"/>
    <w:rsid w:val="00005791"/>
    <w:rsid w:val="00005EED"/>
    <w:rsid w:val="00025833"/>
    <w:rsid w:val="00037A9E"/>
    <w:rsid w:val="00051635"/>
    <w:rsid w:val="000539F1"/>
    <w:rsid w:val="00055A2A"/>
    <w:rsid w:val="000A17C4"/>
    <w:rsid w:val="000D261B"/>
    <w:rsid w:val="000E3E5C"/>
    <w:rsid w:val="000E3ED4"/>
    <w:rsid w:val="000F6644"/>
    <w:rsid w:val="00100833"/>
    <w:rsid w:val="00114A65"/>
    <w:rsid w:val="0012538A"/>
    <w:rsid w:val="00141699"/>
    <w:rsid w:val="00147000"/>
    <w:rsid w:val="001510DA"/>
    <w:rsid w:val="0015731C"/>
    <w:rsid w:val="001645CB"/>
    <w:rsid w:val="00173781"/>
    <w:rsid w:val="00175CAE"/>
    <w:rsid w:val="001828DB"/>
    <w:rsid w:val="001850FE"/>
    <w:rsid w:val="00185135"/>
    <w:rsid w:val="001905A9"/>
    <w:rsid w:val="00191273"/>
    <w:rsid w:val="00192BBF"/>
    <w:rsid w:val="001942A7"/>
    <w:rsid w:val="001A163D"/>
    <w:rsid w:val="001A441E"/>
    <w:rsid w:val="001B357F"/>
    <w:rsid w:val="001C3702"/>
    <w:rsid w:val="001D607D"/>
    <w:rsid w:val="001F0F8E"/>
    <w:rsid w:val="001F4238"/>
    <w:rsid w:val="00200A38"/>
    <w:rsid w:val="00200A46"/>
    <w:rsid w:val="00210259"/>
    <w:rsid w:val="00217CC3"/>
    <w:rsid w:val="0022120F"/>
    <w:rsid w:val="0022754A"/>
    <w:rsid w:val="00245D0F"/>
    <w:rsid w:val="00251C0E"/>
    <w:rsid w:val="00257ACD"/>
    <w:rsid w:val="00262908"/>
    <w:rsid w:val="002650F4"/>
    <w:rsid w:val="00273F7E"/>
    <w:rsid w:val="00285B33"/>
    <w:rsid w:val="002A2EAF"/>
    <w:rsid w:val="002C1EC7"/>
    <w:rsid w:val="002C7EA3"/>
    <w:rsid w:val="002D20AE"/>
    <w:rsid w:val="002E2104"/>
    <w:rsid w:val="002E5115"/>
    <w:rsid w:val="002F05D8"/>
    <w:rsid w:val="002F2DE0"/>
    <w:rsid w:val="002F3DF9"/>
    <w:rsid w:val="002F5E25"/>
    <w:rsid w:val="00312AE6"/>
    <w:rsid w:val="00317D1A"/>
    <w:rsid w:val="00321193"/>
    <w:rsid w:val="00327A9D"/>
    <w:rsid w:val="003302AC"/>
    <w:rsid w:val="0033130E"/>
    <w:rsid w:val="00360B73"/>
    <w:rsid w:val="003615AF"/>
    <w:rsid w:val="003A7FFE"/>
    <w:rsid w:val="003B0C61"/>
    <w:rsid w:val="003C1746"/>
    <w:rsid w:val="003D2F3B"/>
    <w:rsid w:val="003D451D"/>
    <w:rsid w:val="003F1DED"/>
    <w:rsid w:val="00401BFF"/>
    <w:rsid w:val="00413B78"/>
    <w:rsid w:val="00453435"/>
    <w:rsid w:val="00466398"/>
    <w:rsid w:val="00467E9E"/>
    <w:rsid w:val="00477A44"/>
    <w:rsid w:val="00477F3A"/>
    <w:rsid w:val="00490374"/>
    <w:rsid w:val="0049128B"/>
    <w:rsid w:val="00493B49"/>
    <w:rsid w:val="004A070A"/>
    <w:rsid w:val="004B1A3C"/>
    <w:rsid w:val="004D2CC3"/>
    <w:rsid w:val="004D35CB"/>
    <w:rsid w:val="004E20E5"/>
    <w:rsid w:val="004E64EA"/>
    <w:rsid w:val="004F6A70"/>
    <w:rsid w:val="00504DB0"/>
    <w:rsid w:val="005072FE"/>
    <w:rsid w:val="00534D5F"/>
    <w:rsid w:val="00544D1B"/>
    <w:rsid w:val="00545DC0"/>
    <w:rsid w:val="00545F6C"/>
    <w:rsid w:val="0055720C"/>
    <w:rsid w:val="0056423B"/>
    <w:rsid w:val="00573424"/>
    <w:rsid w:val="00584AEF"/>
    <w:rsid w:val="00592518"/>
    <w:rsid w:val="00592E87"/>
    <w:rsid w:val="00594C4D"/>
    <w:rsid w:val="005A33B0"/>
    <w:rsid w:val="005C2DC2"/>
    <w:rsid w:val="005D57C8"/>
    <w:rsid w:val="005E0278"/>
    <w:rsid w:val="005E3CA0"/>
    <w:rsid w:val="005E44B1"/>
    <w:rsid w:val="005E67B0"/>
    <w:rsid w:val="005F43DD"/>
    <w:rsid w:val="005F7416"/>
    <w:rsid w:val="00600835"/>
    <w:rsid w:val="00625FB8"/>
    <w:rsid w:val="006261BD"/>
    <w:rsid w:val="0064734E"/>
    <w:rsid w:val="00650137"/>
    <w:rsid w:val="006645F2"/>
    <w:rsid w:val="00667A14"/>
    <w:rsid w:val="006748F8"/>
    <w:rsid w:val="00680489"/>
    <w:rsid w:val="00685545"/>
    <w:rsid w:val="006A7710"/>
    <w:rsid w:val="006A7A61"/>
    <w:rsid w:val="006B4952"/>
    <w:rsid w:val="006C1F18"/>
    <w:rsid w:val="006D0F8B"/>
    <w:rsid w:val="006D253B"/>
    <w:rsid w:val="006D40D5"/>
    <w:rsid w:val="006F009A"/>
    <w:rsid w:val="00721657"/>
    <w:rsid w:val="00727B1A"/>
    <w:rsid w:val="00740EEF"/>
    <w:rsid w:val="00752258"/>
    <w:rsid w:val="00762880"/>
    <w:rsid w:val="00763B2C"/>
    <w:rsid w:val="00765DE5"/>
    <w:rsid w:val="00772290"/>
    <w:rsid w:val="007805E7"/>
    <w:rsid w:val="0078222A"/>
    <w:rsid w:val="00785254"/>
    <w:rsid w:val="007A4E50"/>
    <w:rsid w:val="007B18A7"/>
    <w:rsid w:val="007B250E"/>
    <w:rsid w:val="007B3789"/>
    <w:rsid w:val="007C27FC"/>
    <w:rsid w:val="007C51FF"/>
    <w:rsid w:val="007D50E4"/>
    <w:rsid w:val="007D63D6"/>
    <w:rsid w:val="007E195A"/>
    <w:rsid w:val="0080137B"/>
    <w:rsid w:val="008028CE"/>
    <w:rsid w:val="00810998"/>
    <w:rsid w:val="008141E0"/>
    <w:rsid w:val="00816F88"/>
    <w:rsid w:val="00852081"/>
    <w:rsid w:val="00874DFD"/>
    <w:rsid w:val="00883086"/>
    <w:rsid w:val="008879FD"/>
    <w:rsid w:val="00894C37"/>
    <w:rsid w:val="008A00EA"/>
    <w:rsid w:val="008A1BA8"/>
    <w:rsid w:val="008A3F93"/>
    <w:rsid w:val="008A6E1C"/>
    <w:rsid w:val="008A72FD"/>
    <w:rsid w:val="008B2EDF"/>
    <w:rsid w:val="008B54CB"/>
    <w:rsid w:val="008C4010"/>
    <w:rsid w:val="008C4FDF"/>
    <w:rsid w:val="008D2801"/>
    <w:rsid w:val="008E0636"/>
    <w:rsid w:val="008F71C1"/>
    <w:rsid w:val="00902D41"/>
    <w:rsid w:val="00914004"/>
    <w:rsid w:val="009171AE"/>
    <w:rsid w:val="009301F1"/>
    <w:rsid w:val="00942A8A"/>
    <w:rsid w:val="009431F8"/>
    <w:rsid w:val="009642F2"/>
    <w:rsid w:val="00966CB5"/>
    <w:rsid w:val="00974DA5"/>
    <w:rsid w:val="00975786"/>
    <w:rsid w:val="00983E1F"/>
    <w:rsid w:val="00985EB2"/>
    <w:rsid w:val="00987850"/>
    <w:rsid w:val="00993F46"/>
    <w:rsid w:val="00994B91"/>
    <w:rsid w:val="00997358"/>
    <w:rsid w:val="009A452B"/>
    <w:rsid w:val="009B050C"/>
    <w:rsid w:val="009C110B"/>
    <w:rsid w:val="009C5441"/>
    <w:rsid w:val="009F3940"/>
    <w:rsid w:val="009F3EB2"/>
    <w:rsid w:val="00A20267"/>
    <w:rsid w:val="00A22048"/>
    <w:rsid w:val="00A32170"/>
    <w:rsid w:val="00A3730A"/>
    <w:rsid w:val="00A53E7C"/>
    <w:rsid w:val="00A60087"/>
    <w:rsid w:val="00A6555F"/>
    <w:rsid w:val="00A705E8"/>
    <w:rsid w:val="00A70BC6"/>
    <w:rsid w:val="00A9392C"/>
    <w:rsid w:val="00A9462B"/>
    <w:rsid w:val="00A97D59"/>
    <w:rsid w:val="00AE5961"/>
    <w:rsid w:val="00AF605F"/>
    <w:rsid w:val="00B06F50"/>
    <w:rsid w:val="00B310F9"/>
    <w:rsid w:val="00B37866"/>
    <w:rsid w:val="00B4576B"/>
    <w:rsid w:val="00B8460A"/>
    <w:rsid w:val="00B8650D"/>
    <w:rsid w:val="00B879B4"/>
    <w:rsid w:val="00B90F07"/>
    <w:rsid w:val="00B97BB9"/>
    <w:rsid w:val="00BB25EE"/>
    <w:rsid w:val="00BC10A0"/>
    <w:rsid w:val="00BC7BA2"/>
    <w:rsid w:val="00BD426B"/>
    <w:rsid w:val="00BD75A1"/>
    <w:rsid w:val="00BE00BD"/>
    <w:rsid w:val="00BE1C01"/>
    <w:rsid w:val="00BE2B4D"/>
    <w:rsid w:val="00C015F8"/>
    <w:rsid w:val="00C14102"/>
    <w:rsid w:val="00C177C5"/>
    <w:rsid w:val="00C241BF"/>
    <w:rsid w:val="00C4038C"/>
    <w:rsid w:val="00C44066"/>
    <w:rsid w:val="00C44E13"/>
    <w:rsid w:val="00C56238"/>
    <w:rsid w:val="00C62DFB"/>
    <w:rsid w:val="00C66F4D"/>
    <w:rsid w:val="00C87BCA"/>
    <w:rsid w:val="00C94506"/>
    <w:rsid w:val="00C954BC"/>
    <w:rsid w:val="00CA6190"/>
    <w:rsid w:val="00CB2A2E"/>
    <w:rsid w:val="00CB79C5"/>
    <w:rsid w:val="00CC732E"/>
    <w:rsid w:val="00CD5569"/>
    <w:rsid w:val="00CD7207"/>
    <w:rsid w:val="00CE1786"/>
    <w:rsid w:val="00CE5E4D"/>
    <w:rsid w:val="00CF02C4"/>
    <w:rsid w:val="00D01F54"/>
    <w:rsid w:val="00D10FC7"/>
    <w:rsid w:val="00D11891"/>
    <w:rsid w:val="00D35BDD"/>
    <w:rsid w:val="00D63006"/>
    <w:rsid w:val="00D72301"/>
    <w:rsid w:val="00D91B97"/>
    <w:rsid w:val="00D93ACC"/>
    <w:rsid w:val="00D93C08"/>
    <w:rsid w:val="00D95DAC"/>
    <w:rsid w:val="00DA5F3B"/>
    <w:rsid w:val="00DB2840"/>
    <w:rsid w:val="00DD66B4"/>
    <w:rsid w:val="00DE27AB"/>
    <w:rsid w:val="00DF2AB3"/>
    <w:rsid w:val="00DF7250"/>
    <w:rsid w:val="00E00CAA"/>
    <w:rsid w:val="00E03EBF"/>
    <w:rsid w:val="00E05209"/>
    <w:rsid w:val="00E2258E"/>
    <w:rsid w:val="00E260C2"/>
    <w:rsid w:val="00E32596"/>
    <w:rsid w:val="00E3486A"/>
    <w:rsid w:val="00E35089"/>
    <w:rsid w:val="00E368F7"/>
    <w:rsid w:val="00E37FB8"/>
    <w:rsid w:val="00E40B07"/>
    <w:rsid w:val="00E43544"/>
    <w:rsid w:val="00E477EA"/>
    <w:rsid w:val="00E66898"/>
    <w:rsid w:val="00E81961"/>
    <w:rsid w:val="00E83810"/>
    <w:rsid w:val="00E86933"/>
    <w:rsid w:val="00E87992"/>
    <w:rsid w:val="00EA7DE7"/>
    <w:rsid w:val="00EB7A8A"/>
    <w:rsid w:val="00EF01CF"/>
    <w:rsid w:val="00EF5EDA"/>
    <w:rsid w:val="00EF73C0"/>
    <w:rsid w:val="00F03590"/>
    <w:rsid w:val="00F22478"/>
    <w:rsid w:val="00F238B3"/>
    <w:rsid w:val="00F25586"/>
    <w:rsid w:val="00F31498"/>
    <w:rsid w:val="00F42F1C"/>
    <w:rsid w:val="00F43B44"/>
    <w:rsid w:val="00F440E5"/>
    <w:rsid w:val="00F448F6"/>
    <w:rsid w:val="00F52741"/>
    <w:rsid w:val="00F53D8A"/>
    <w:rsid w:val="00F60FD3"/>
    <w:rsid w:val="00F626F7"/>
    <w:rsid w:val="00F67272"/>
    <w:rsid w:val="00F9211C"/>
    <w:rsid w:val="00F938F7"/>
    <w:rsid w:val="00FA095D"/>
    <w:rsid w:val="00FB4139"/>
    <w:rsid w:val="00FB476E"/>
    <w:rsid w:val="00FC0D90"/>
    <w:rsid w:val="00FC7D8C"/>
    <w:rsid w:val="00FD3980"/>
    <w:rsid w:val="00FD431E"/>
    <w:rsid w:val="00FD5A2C"/>
    <w:rsid w:val="00FE1D5C"/>
    <w:rsid w:val="00FE2F8B"/>
    <w:rsid w:val="00FF287F"/>
    <w:rsid w:val="00FF74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1657"/>
    <w:pPr>
      <w:tabs>
        <w:tab w:val="left" w:pos="794"/>
        <w:tab w:val="left" w:pos="1191"/>
        <w:tab w:val="left" w:pos="1588"/>
        <w:tab w:val="left" w:pos="1985"/>
      </w:tabs>
      <w:overflowPunct w:val="0"/>
      <w:autoSpaceDE w:val="0"/>
      <w:autoSpaceDN w:val="0"/>
      <w:adjustRightInd w:val="0"/>
      <w:spacing w:before="120"/>
      <w:textAlignment w:val="baseline"/>
    </w:pPr>
    <w:rPr>
      <w:rFonts w:asciiTheme="minorHAnsi" w:hAnsiTheme="minorHAnsi"/>
      <w:sz w:val="24"/>
      <w:lang w:val="en-GB" w:eastAsia="en-US"/>
    </w:rPr>
  </w:style>
  <w:style w:type="paragraph" w:styleId="Heading1">
    <w:name w:val="heading 1"/>
    <w:basedOn w:val="Normal"/>
    <w:next w:val="Normal"/>
    <w:qFormat/>
    <w:rsid w:val="00B37866"/>
    <w:pPr>
      <w:keepNext/>
      <w:keepLines/>
      <w:spacing w:before="280"/>
      <w:ind w:left="794" w:hanging="794"/>
      <w:outlineLvl w:val="0"/>
    </w:pPr>
    <w:rPr>
      <w:b/>
      <w:sz w:val="28"/>
    </w:rPr>
  </w:style>
  <w:style w:type="paragraph" w:styleId="Heading2">
    <w:name w:val="heading 2"/>
    <w:basedOn w:val="Heading1"/>
    <w:next w:val="Normal"/>
    <w:qFormat/>
    <w:rsid w:val="00B37866"/>
    <w:pPr>
      <w:spacing w:before="200"/>
      <w:outlineLvl w:val="1"/>
    </w:pPr>
    <w:rPr>
      <w:sz w:val="24"/>
    </w:rPr>
  </w:style>
  <w:style w:type="paragraph" w:styleId="Heading3">
    <w:name w:val="heading 3"/>
    <w:basedOn w:val="Heading1"/>
    <w:next w:val="Normal"/>
    <w:qFormat/>
    <w:rsid w:val="00B37866"/>
    <w:pPr>
      <w:spacing w:before="200"/>
      <w:outlineLvl w:val="2"/>
    </w:pPr>
    <w:rPr>
      <w:sz w:val="24"/>
    </w:rPr>
  </w:style>
  <w:style w:type="paragraph" w:styleId="Heading4">
    <w:name w:val="heading 4"/>
    <w:basedOn w:val="Heading3"/>
    <w:next w:val="Normal"/>
    <w:qFormat/>
    <w:rsid w:val="00B37866"/>
    <w:pPr>
      <w:tabs>
        <w:tab w:val="clear" w:pos="794"/>
        <w:tab w:val="left" w:pos="992"/>
      </w:tabs>
      <w:ind w:left="992" w:hanging="992"/>
      <w:outlineLvl w:val="3"/>
    </w:pPr>
  </w:style>
  <w:style w:type="paragraph" w:styleId="Heading5">
    <w:name w:val="heading 5"/>
    <w:basedOn w:val="Heading4"/>
    <w:next w:val="Normal"/>
    <w:qFormat/>
    <w:rsid w:val="00B37866"/>
    <w:pPr>
      <w:outlineLvl w:val="4"/>
    </w:pPr>
  </w:style>
  <w:style w:type="paragraph" w:styleId="Heading6">
    <w:name w:val="heading 6"/>
    <w:basedOn w:val="Heading4"/>
    <w:next w:val="Normal"/>
    <w:qFormat/>
    <w:rsid w:val="00B37866"/>
    <w:pPr>
      <w:tabs>
        <w:tab w:val="clear" w:pos="992"/>
        <w:tab w:val="clear" w:pos="1191"/>
      </w:tabs>
      <w:ind w:left="1588" w:hanging="1588"/>
      <w:outlineLvl w:val="5"/>
    </w:pPr>
  </w:style>
  <w:style w:type="paragraph" w:styleId="Heading7">
    <w:name w:val="heading 7"/>
    <w:basedOn w:val="Heading6"/>
    <w:next w:val="Normal"/>
    <w:qFormat/>
    <w:rsid w:val="00B37866"/>
    <w:pPr>
      <w:outlineLvl w:val="6"/>
    </w:pPr>
  </w:style>
  <w:style w:type="paragraph" w:styleId="Heading8">
    <w:name w:val="heading 8"/>
    <w:basedOn w:val="Heading6"/>
    <w:next w:val="Normal"/>
    <w:qFormat/>
    <w:rsid w:val="00B37866"/>
    <w:pPr>
      <w:outlineLvl w:val="7"/>
    </w:pPr>
  </w:style>
  <w:style w:type="paragraph" w:styleId="Heading9">
    <w:name w:val="heading 9"/>
    <w:basedOn w:val="Heading6"/>
    <w:next w:val="Normal"/>
    <w:qFormat/>
    <w:rsid w:val="00B3786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4"/>
    <w:semiHidden/>
    <w:rsid w:val="00B37866"/>
  </w:style>
  <w:style w:type="paragraph" w:styleId="TOC4">
    <w:name w:val="toc 4"/>
    <w:basedOn w:val="TOC3"/>
    <w:semiHidden/>
    <w:rsid w:val="00B37866"/>
  </w:style>
  <w:style w:type="paragraph" w:styleId="TOC3">
    <w:name w:val="toc 3"/>
    <w:basedOn w:val="TOC2"/>
    <w:rsid w:val="00B37866"/>
  </w:style>
  <w:style w:type="paragraph" w:styleId="TOC2">
    <w:name w:val="toc 2"/>
    <w:basedOn w:val="TOC1"/>
    <w:rsid w:val="00B37866"/>
    <w:pPr>
      <w:spacing w:before="120"/>
    </w:pPr>
  </w:style>
  <w:style w:type="paragraph" w:styleId="TOC1">
    <w:name w:val="toc 1"/>
    <w:basedOn w:val="Normal"/>
    <w:rsid w:val="00B37866"/>
    <w:pPr>
      <w:keepLines/>
      <w:tabs>
        <w:tab w:val="clear" w:pos="794"/>
        <w:tab w:val="clear" w:pos="1191"/>
        <w:tab w:val="clear" w:pos="1588"/>
        <w:tab w:val="clear" w:pos="1985"/>
        <w:tab w:val="left" w:pos="964"/>
        <w:tab w:val="left" w:leader="dot" w:pos="8647"/>
        <w:tab w:val="center" w:pos="9526"/>
      </w:tabs>
      <w:spacing w:before="240"/>
      <w:ind w:left="964" w:hanging="964"/>
    </w:pPr>
  </w:style>
  <w:style w:type="paragraph" w:styleId="TOC7">
    <w:name w:val="toc 7"/>
    <w:basedOn w:val="TOC4"/>
    <w:semiHidden/>
    <w:rsid w:val="00B37866"/>
  </w:style>
  <w:style w:type="paragraph" w:styleId="TOC6">
    <w:name w:val="toc 6"/>
    <w:basedOn w:val="TOC4"/>
    <w:semiHidden/>
    <w:rsid w:val="00B37866"/>
  </w:style>
  <w:style w:type="paragraph" w:styleId="TOC5">
    <w:name w:val="toc 5"/>
    <w:basedOn w:val="TOC4"/>
    <w:semiHidden/>
    <w:rsid w:val="00B37866"/>
  </w:style>
  <w:style w:type="paragraph" w:styleId="Index7">
    <w:name w:val="index 7"/>
    <w:basedOn w:val="Normal"/>
    <w:next w:val="Normal"/>
    <w:semiHidden/>
    <w:rsid w:val="00B37866"/>
    <w:pPr>
      <w:ind w:left="1698"/>
    </w:pPr>
  </w:style>
  <w:style w:type="paragraph" w:styleId="Index6">
    <w:name w:val="index 6"/>
    <w:basedOn w:val="Normal"/>
    <w:next w:val="Normal"/>
    <w:semiHidden/>
    <w:rsid w:val="00B37866"/>
    <w:pPr>
      <w:ind w:left="1415"/>
    </w:pPr>
  </w:style>
  <w:style w:type="paragraph" w:styleId="Index5">
    <w:name w:val="index 5"/>
    <w:basedOn w:val="Normal"/>
    <w:next w:val="Normal"/>
    <w:semiHidden/>
    <w:rsid w:val="00B37866"/>
    <w:pPr>
      <w:ind w:left="1132"/>
    </w:pPr>
  </w:style>
  <w:style w:type="paragraph" w:styleId="Index4">
    <w:name w:val="index 4"/>
    <w:basedOn w:val="Normal"/>
    <w:next w:val="Normal"/>
    <w:semiHidden/>
    <w:rsid w:val="00B37866"/>
    <w:pPr>
      <w:ind w:left="849"/>
    </w:pPr>
  </w:style>
  <w:style w:type="paragraph" w:styleId="Index3">
    <w:name w:val="index 3"/>
    <w:basedOn w:val="Normal"/>
    <w:next w:val="Normal"/>
    <w:semiHidden/>
    <w:rsid w:val="00B37866"/>
    <w:pPr>
      <w:ind w:left="566"/>
    </w:pPr>
  </w:style>
  <w:style w:type="paragraph" w:styleId="Index2">
    <w:name w:val="index 2"/>
    <w:basedOn w:val="Normal"/>
    <w:next w:val="Normal"/>
    <w:semiHidden/>
    <w:rsid w:val="00B37866"/>
    <w:pPr>
      <w:ind w:left="283"/>
    </w:pPr>
  </w:style>
  <w:style w:type="paragraph" w:styleId="Index1">
    <w:name w:val="index 1"/>
    <w:basedOn w:val="Normal"/>
    <w:next w:val="Normal"/>
    <w:semiHidden/>
    <w:rsid w:val="00B37866"/>
  </w:style>
  <w:style w:type="character" w:styleId="LineNumber">
    <w:name w:val="line number"/>
    <w:basedOn w:val="DefaultParagraphFont"/>
    <w:rsid w:val="00B37866"/>
  </w:style>
  <w:style w:type="paragraph" w:styleId="IndexHeading">
    <w:name w:val="index heading"/>
    <w:basedOn w:val="Normal"/>
    <w:next w:val="Index1"/>
    <w:semiHidden/>
    <w:rsid w:val="00B37866"/>
  </w:style>
  <w:style w:type="paragraph" w:styleId="Footer">
    <w:name w:val="footer"/>
    <w:basedOn w:val="Normal"/>
    <w:link w:val="FooterChar"/>
    <w:rsid w:val="00B37866"/>
    <w:pPr>
      <w:tabs>
        <w:tab w:val="clear" w:pos="794"/>
        <w:tab w:val="clear" w:pos="1191"/>
        <w:tab w:val="clear" w:pos="1588"/>
        <w:tab w:val="clear" w:pos="1985"/>
        <w:tab w:val="left" w:pos="5954"/>
        <w:tab w:val="right" w:pos="9639"/>
      </w:tabs>
      <w:spacing w:before="0"/>
    </w:pPr>
    <w:rPr>
      <w:caps/>
      <w:noProof/>
      <w:sz w:val="16"/>
      <w:lang w:val="fr-FR"/>
    </w:rPr>
  </w:style>
  <w:style w:type="paragraph" w:styleId="Header">
    <w:name w:val="header"/>
    <w:basedOn w:val="Normal"/>
    <w:link w:val="HeaderChar"/>
    <w:uiPriority w:val="99"/>
    <w:rsid w:val="00B37866"/>
    <w:pPr>
      <w:tabs>
        <w:tab w:val="clear" w:pos="794"/>
        <w:tab w:val="clear" w:pos="1191"/>
        <w:tab w:val="clear" w:pos="1588"/>
        <w:tab w:val="clear" w:pos="1985"/>
      </w:tabs>
      <w:spacing w:before="0"/>
      <w:jc w:val="center"/>
    </w:pPr>
    <w:rPr>
      <w:sz w:val="18"/>
      <w:lang w:val="fr-FR"/>
    </w:rPr>
  </w:style>
  <w:style w:type="character" w:styleId="FootnoteReference">
    <w:name w:val="footnote reference"/>
    <w:aliases w:val="Appel note de bas de p,Footnote Reference/,Footnote symbol,Ref,de nota al pie"/>
    <w:basedOn w:val="DefaultParagraphFont"/>
    <w:uiPriority w:val="99"/>
    <w:rsid w:val="00F52741"/>
    <w:rPr>
      <w:rFonts w:asciiTheme="minorHAnsi" w:hAnsiTheme="minorHAnsi"/>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rsid w:val="00B37866"/>
    <w:pPr>
      <w:keepLines/>
      <w:tabs>
        <w:tab w:val="left" w:pos="255"/>
      </w:tabs>
      <w:ind w:left="255" w:hanging="255"/>
    </w:pPr>
  </w:style>
  <w:style w:type="paragraph" w:styleId="NormalIndent">
    <w:name w:val="Normal Indent"/>
    <w:basedOn w:val="Normal"/>
    <w:rsid w:val="00B37866"/>
    <w:pPr>
      <w:ind w:left="794"/>
    </w:pPr>
  </w:style>
  <w:style w:type="paragraph" w:customStyle="1" w:styleId="enumlev1">
    <w:name w:val="enumlev1"/>
    <w:basedOn w:val="Normal"/>
    <w:link w:val="enumlev1Char"/>
    <w:uiPriority w:val="99"/>
    <w:rsid w:val="00B37866"/>
    <w:pPr>
      <w:spacing w:before="80"/>
      <w:ind w:left="794" w:hanging="794"/>
    </w:pPr>
  </w:style>
  <w:style w:type="paragraph" w:customStyle="1" w:styleId="enumlev2">
    <w:name w:val="enumlev2"/>
    <w:basedOn w:val="enumlev1"/>
    <w:rsid w:val="00B37866"/>
    <w:pPr>
      <w:ind w:left="1191" w:hanging="397"/>
    </w:pPr>
  </w:style>
  <w:style w:type="paragraph" w:customStyle="1" w:styleId="enumlev3">
    <w:name w:val="enumlev3"/>
    <w:basedOn w:val="enumlev2"/>
    <w:rsid w:val="00B37866"/>
    <w:pPr>
      <w:ind w:left="1588"/>
    </w:pPr>
  </w:style>
  <w:style w:type="paragraph" w:customStyle="1" w:styleId="Normalaftertitle">
    <w:name w:val="Normal after title"/>
    <w:basedOn w:val="Normal"/>
    <w:next w:val="Normal"/>
    <w:link w:val="NormalaftertitleChar"/>
    <w:rsid w:val="00B37866"/>
    <w:pPr>
      <w:spacing w:before="280"/>
    </w:pPr>
  </w:style>
  <w:style w:type="paragraph" w:customStyle="1" w:styleId="Equation">
    <w:name w:val="Equation"/>
    <w:basedOn w:val="Normal"/>
    <w:rsid w:val="00B37866"/>
    <w:pPr>
      <w:tabs>
        <w:tab w:val="clear" w:pos="1191"/>
        <w:tab w:val="clear" w:pos="1588"/>
        <w:tab w:val="clear" w:pos="1985"/>
        <w:tab w:val="center" w:pos="4820"/>
        <w:tab w:val="right" w:pos="9639"/>
      </w:tabs>
    </w:pPr>
  </w:style>
  <w:style w:type="paragraph" w:customStyle="1" w:styleId="toc0">
    <w:name w:val="toc 0"/>
    <w:basedOn w:val="Normal"/>
    <w:next w:val="TOC1"/>
    <w:rsid w:val="00B37866"/>
    <w:pPr>
      <w:tabs>
        <w:tab w:val="clear" w:pos="794"/>
        <w:tab w:val="clear" w:pos="1191"/>
        <w:tab w:val="clear" w:pos="1588"/>
        <w:tab w:val="clear" w:pos="1985"/>
        <w:tab w:val="right" w:pos="9781"/>
      </w:tabs>
    </w:pPr>
    <w:rPr>
      <w:b/>
    </w:rPr>
  </w:style>
  <w:style w:type="paragraph" w:customStyle="1" w:styleId="AnnexNo">
    <w:name w:val="Annex_No"/>
    <w:basedOn w:val="Normal"/>
    <w:next w:val="Annexref"/>
    <w:rsid w:val="00B37866"/>
    <w:pPr>
      <w:keepNext/>
      <w:keepLines/>
      <w:spacing w:before="480" w:after="80"/>
      <w:jc w:val="center"/>
    </w:pPr>
    <w:rPr>
      <w:caps/>
      <w:sz w:val="28"/>
    </w:rPr>
  </w:style>
  <w:style w:type="paragraph" w:customStyle="1" w:styleId="ASN1">
    <w:name w:val="ASN.1"/>
    <w:basedOn w:val="Normal"/>
    <w:rsid w:val="00B37866"/>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Note">
    <w:name w:val="Note"/>
    <w:basedOn w:val="Normal"/>
    <w:rsid w:val="00B37866"/>
    <w:pPr>
      <w:spacing w:before="80"/>
    </w:pPr>
  </w:style>
  <w:style w:type="paragraph" w:styleId="TOC9">
    <w:name w:val="toc 9"/>
    <w:basedOn w:val="TOC3"/>
    <w:next w:val="Normal"/>
    <w:semiHidden/>
    <w:rsid w:val="00B37866"/>
  </w:style>
  <w:style w:type="paragraph" w:customStyle="1" w:styleId="Source">
    <w:name w:val="Source"/>
    <w:basedOn w:val="Normal"/>
    <w:next w:val="Normalaftertitle"/>
    <w:rsid w:val="001A163D"/>
    <w:rPr>
      <w:b/>
    </w:rPr>
  </w:style>
  <w:style w:type="paragraph" w:customStyle="1" w:styleId="Title1">
    <w:name w:val="Title 1"/>
    <w:basedOn w:val="Source"/>
    <w:next w:val="Title2"/>
    <w:rsid w:val="00F52741"/>
    <w:pPr>
      <w:tabs>
        <w:tab w:val="clear" w:pos="794"/>
        <w:tab w:val="clear" w:pos="1191"/>
        <w:tab w:val="clear" w:pos="1588"/>
        <w:tab w:val="clear" w:pos="1985"/>
        <w:tab w:val="left" w:pos="567"/>
        <w:tab w:val="left" w:pos="1134"/>
        <w:tab w:val="left" w:pos="1701"/>
        <w:tab w:val="left" w:pos="2268"/>
        <w:tab w:val="left" w:pos="2835"/>
      </w:tabs>
      <w:spacing w:before="240"/>
    </w:pPr>
    <w:rPr>
      <w:rFonts w:cs="Times New Roman Bold"/>
    </w:rPr>
  </w:style>
  <w:style w:type="paragraph" w:customStyle="1" w:styleId="Title2">
    <w:name w:val="Title 2"/>
    <w:basedOn w:val="Title1"/>
    <w:next w:val="Title3"/>
    <w:rsid w:val="00B37866"/>
  </w:style>
  <w:style w:type="paragraph" w:customStyle="1" w:styleId="Title3">
    <w:name w:val="Title 3"/>
    <w:basedOn w:val="Title2"/>
    <w:next w:val="Title4"/>
    <w:rsid w:val="00B37866"/>
  </w:style>
  <w:style w:type="paragraph" w:customStyle="1" w:styleId="Title4">
    <w:name w:val="Title 4"/>
    <w:basedOn w:val="Title3"/>
    <w:next w:val="Heading1"/>
    <w:rsid w:val="00B37866"/>
  </w:style>
  <w:style w:type="paragraph" w:customStyle="1" w:styleId="FirstFooter">
    <w:name w:val="FirstFooter"/>
    <w:basedOn w:val="Footer"/>
    <w:rsid w:val="00B37866"/>
    <w:pPr>
      <w:tabs>
        <w:tab w:val="clear" w:pos="5954"/>
        <w:tab w:val="clear" w:pos="9639"/>
      </w:tabs>
      <w:overflowPunct/>
      <w:autoSpaceDE/>
      <w:autoSpaceDN/>
      <w:adjustRightInd/>
      <w:spacing w:before="40"/>
      <w:textAlignment w:val="auto"/>
    </w:pPr>
    <w:rPr>
      <w:caps w:val="0"/>
      <w:noProof w:val="0"/>
    </w:rPr>
  </w:style>
  <w:style w:type="paragraph" w:customStyle="1" w:styleId="Annexref">
    <w:name w:val="Annex_ref"/>
    <w:basedOn w:val="Normal"/>
    <w:next w:val="Annextitle"/>
    <w:rsid w:val="00B37866"/>
    <w:pPr>
      <w:keepNext/>
      <w:keepLines/>
      <w:spacing w:after="280"/>
      <w:jc w:val="center"/>
    </w:pPr>
  </w:style>
  <w:style w:type="paragraph" w:customStyle="1" w:styleId="Annextitle">
    <w:name w:val="Annex_title"/>
    <w:basedOn w:val="Normal"/>
    <w:next w:val="Normalaftertitle"/>
    <w:rsid w:val="00F52741"/>
    <w:pPr>
      <w:keepNext/>
      <w:keepLines/>
      <w:spacing w:before="240" w:after="280"/>
      <w:jc w:val="center"/>
    </w:pPr>
    <w:rPr>
      <w:b/>
      <w:sz w:val="28"/>
    </w:rPr>
  </w:style>
  <w:style w:type="character" w:customStyle="1" w:styleId="Appdef">
    <w:name w:val="App_def"/>
    <w:basedOn w:val="DefaultParagraphFont"/>
    <w:rsid w:val="00F52741"/>
    <w:rPr>
      <w:rFonts w:asciiTheme="minorHAnsi" w:hAnsiTheme="minorHAnsi"/>
      <w:b/>
    </w:rPr>
  </w:style>
  <w:style w:type="character" w:customStyle="1" w:styleId="Appref">
    <w:name w:val="App_ref"/>
    <w:basedOn w:val="DefaultParagraphFont"/>
    <w:rsid w:val="00F52741"/>
    <w:rPr>
      <w:rFonts w:asciiTheme="minorHAnsi" w:hAnsiTheme="minorHAnsi"/>
    </w:rPr>
  </w:style>
  <w:style w:type="paragraph" w:customStyle="1" w:styleId="AppendixNo">
    <w:name w:val="Appendix_No"/>
    <w:basedOn w:val="AnnexNo"/>
    <w:next w:val="Annexref"/>
    <w:rsid w:val="00B37866"/>
  </w:style>
  <w:style w:type="paragraph" w:customStyle="1" w:styleId="Appendixref">
    <w:name w:val="Appendix_ref"/>
    <w:basedOn w:val="Annexref"/>
    <w:next w:val="Annextitle"/>
    <w:rsid w:val="00B37866"/>
  </w:style>
  <w:style w:type="paragraph" w:customStyle="1" w:styleId="Appendixtitle">
    <w:name w:val="Appendix_title"/>
    <w:basedOn w:val="Annextitle"/>
    <w:next w:val="Normalaftertitle"/>
    <w:rsid w:val="00B37866"/>
  </w:style>
  <w:style w:type="character" w:customStyle="1" w:styleId="Artdef">
    <w:name w:val="Art_def"/>
    <w:basedOn w:val="DefaultParagraphFont"/>
    <w:rsid w:val="00F52741"/>
    <w:rPr>
      <w:rFonts w:asciiTheme="minorHAnsi" w:hAnsiTheme="minorHAnsi"/>
      <w:b/>
    </w:rPr>
  </w:style>
  <w:style w:type="paragraph" w:customStyle="1" w:styleId="Artheading">
    <w:name w:val="Art_heading"/>
    <w:basedOn w:val="Normal"/>
    <w:next w:val="Normalaftertitle"/>
    <w:rsid w:val="00F52741"/>
    <w:pPr>
      <w:spacing w:before="480"/>
      <w:jc w:val="center"/>
    </w:pPr>
    <w:rPr>
      <w:b/>
      <w:sz w:val="28"/>
    </w:rPr>
  </w:style>
  <w:style w:type="paragraph" w:customStyle="1" w:styleId="ArtNo">
    <w:name w:val="Art_No"/>
    <w:basedOn w:val="Normal"/>
    <w:next w:val="Arttitle"/>
    <w:rsid w:val="00B37866"/>
    <w:pPr>
      <w:keepNext/>
      <w:keepLines/>
      <w:spacing w:before="480"/>
      <w:jc w:val="center"/>
    </w:pPr>
    <w:rPr>
      <w:caps/>
      <w:sz w:val="28"/>
    </w:rPr>
  </w:style>
  <w:style w:type="paragraph" w:customStyle="1" w:styleId="Arttitle">
    <w:name w:val="Art_title"/>
    <w:basedOn w:val="Normal"/>
    <w:next w:val="Normalaftertitle"/>
    <w:rsid w:val="00B37866"/>
    <w:pPr>
      <w:keepNext/>
      <w:keepLines/>
      <w:spacing w:before="240"/>
      <w:jc w:val="center"/>
    </w:pPr>
    <w:rPr>
      <w:b/>
      <w:sz w:val="28"/>
    </w:rPr>
  </w:style>
  <w:style w:type="character" w:customStyle="1" w:styleId="Artref">
    <w:name w:val="Art_ref"/>
    <w:basedOn w:val="DefaultParagraphFont"/>
    <w:rsid w:val="00B37866"/>
  </w:style>
  <w:style w:type="paragraph" w:customStyle="1" w:styleId="Call">
    <w:name w:val="Call"/>
    <w:basedOn w:val="Normal"/>
    <w:next w:val="Normal"/>
    <w:link w:val="CallChar"/>
    <w:uiPriority w:val="99"/>
    <w:rsid w:val="00B37866"/>
    <w:pPr>
      <w:keepNext/>
      <w:keepLines/>
      <w:spacing w:before="160"/>
      <w:ind w:left="794"/>
    </w:pPr>
    <w:rPr>
      <w:i/>
    </w:rPr>
  </w:style>
  <w:style w:type="paragraph" w:customStyle="1" w:styleId="ChapNo">
    <w:name w:val="Chap_No"/>
    <w:basedOn w:val="ArtNo"/>
    <w:next w:val="Chaptitle"/>
    <w:rsid w:val="00F52741"/>
    <w:rPr>
      <w:b/>
    </w:rPr>
  </w:style>
  <w:style w:type="paragraph" w:customStyle="1" w:styleId="Chaptitle">
    <w:name w:val="Chap_title"/>
    <w:basedOn w:val="Arttitle"/>
    <w:next w:val="Normalaftertitle"/>
    <w:rsid w:val="00B37866"/>
  </w:style>
  <w:style w:type="paragraph" w:customStyle="1" w:styleId="ddate">
    <w:name w:val="ddate"/>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paragraph" w:customStyle="1" w:styleId="dnum">
    <w:name w:val="dnum"/>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pPr>
    <w:rPr>
      <w:b/>
      <w:bCs/>
    </w:rPr>
  </w:style>
  <w:style w:type="paragraph" w:customStyle="1" w:styleId="dorlang">
    <w:name w:val="dorlang"/>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character" w:styleId="EndnoteReference">
    <w:name w:val="endnote reference"/>
    <w:basedOn w:val="DefaultParagraphFont"/>
    <w:semiHidden/>
    <w:rsid w:val="00B37866"/>
    <w:rPr>
      <w:vertAlign w:val="superscript"/>
    </w:rPr>
  </w:style>
  <w:style w:type="paragraph" w:customStyle="1" w:styleId="Equationlegend">
    <w:name w:val="Equation_legend"/>
    <w:basedOn w:val="Normal"/>
    <w:rsid w:val="00B37866"/>
    <w:pPr>
      <w:tabs>
        <w:tab w:val="clear" w:pos="794"/>
        <w:tab w:val="clear" w:pos="1191"/>
        <w:tab w:val="clear" w:pos="1588"/>
        <w:tab w:val="clear" w:pos="1985"/>
        <w:tab w:val="right" w:pos="1531"/>
        <w:tab w:val="left" w:pos="1701"/>
      </w:tabs>
      <w:spacing w:before="80"/>
      <w:ind w:left="1701" w:hanging="1701"/>
    </w:pPr>
  </w:style>
  <w:style w:type="paragraph" w:customStyle="1" w:styleId="Figurelegend">
    <w:name w:val="Figure_legend"/>
    <w:basedOn w:val="Normal"/>
    <w:rsid w:val="00B37866"/>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B37866"/>
    <w:pPr>
      <w:keepNext/>
      <w:keepLines/>
      <w:spacing w:before="480" w:after="120"/>
      <w:jc w:val="center"/>
    </w:pPr>
    <w:rPr>
      <w:caps/>
    </w:rPr>
  </w:style>
  <w:style w:type="paragraph" w:customStyle="1" w:styleId="Figuretitle">
    <w:name w:val="Figure_title"/>
    <w:basedOn w:val="Tabletitle"/>
    <w:next w:val="Normal"/>
    <w:rsid w:val="00F52741"/>
    <w:pPr>
      <w:keepNext w:val="0"/>
      <w:spacing w:after="480"/>
    </w:pPr>
  </w:style>
  <w:style w:type="paragraph" w:customStyle="1" w:styleId="Tabletitle">
    <w:name w:val="Table_title"/>
    <w:basedOn w:val="Normal"/>
    <w:next w:val="Tabletext"/>
    <w:rsid w:val="00F52741"/>
    <w:pPr>
      <w:keepNext/>
      <w:keepLines/>
      <w:spacing w:before="0" w:after="120"/>
      <w:jc w:val="center"/>
    </w:pPr>
    <w:rPr>
      <w:b/>
    </w:rPr>
  </w:style>
  <w:style w:type="paragraph" w:customStyle="1" w:styleId="Tabletext">
    <w:name w:val="Table_text"/>
    <w:basedOn w:val="Normal"/>
    <w:rsid w:val="00B37866"/>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FigureNo"/>
    <w:next w:val="Normal"/>
    <w:rsid w:val="00B37866"/>
    <w:pPr>
      <w:keepNext w:val="0"/>
    </w:pPr>
  </w:style>
  <w:style w:type="paragraph" w:customStyle="1" w:styleId="Headingb">
    <w:name w:val="Heading_b"/>
    <w:basedOn w:val="Normal"/>
    <w:next w:val="Normal"/>
    <w:rsid w:val="00F52741"/>
    <w:pPr>
      <w:keepNext/>
      <w:spacing w:before="160"/>
    </w:pPr>
    <w:rPr>
      <w:b/>
    </w:rPr>
  </w:style>
  <w:style w:type="paragraph" w:customStyle="1" w:styleId="Headingi">
    <w:name w:val="Heading_i"/>
    <w:basedOn w:val="Normal"/>
    <w:next w:val="Normal"/>
    <w:rsid w:val="00F52741"/>
    <w:pPr>
      <w:keepNext/>
      <w:spacing w:before="160"/>
    </w:pPr>
    <w:rPr>
      <w:i/>
    </w:rPr>
  </w:style>
  <w:style w:type="paragraph" w:customStyle="1" w:styleId="PartNo">
    <w:name w:val="Part_No"/>
    <w:basedOn w:val="AnnexNo"/>
    <w:next w:val="Partref"/>
    <w:rsid w:val="00B37866"/>
  </w:style>
  <w:style w:type="paragraph" w:customStyle="1" w:styleId="Partref">
    <w:name w:val="Part_ref"/>
    <w:basedOn w:val="Annexref"/>
    <w:next w:val="Parttitle"/>
    <w:rsid w:val="00B37866"/>
  </w:style>
  <w:style w:type="paragraph" w:customStyle="1" w:styleId="Parttitle">
    <w:name w:val="Part_title"/>
    <w:basedOn w:val="Annextitle"/>
    <w:next w:val="Normalaftertitle"/>
    <w:rsid w:val="00B37866"/>
  </w:style>
  <w:style w:type="paragraph" w:customStyle="1" w:styleId="RecNo">
    <w:name w:val="Rec_No"/>
    <w:basedOn w:val="Normal"/>
    <w:next w:val="Rectitle"/>
    <w:rsid w:val="00B37866"/>
    <w:pPr>
      <w:keepNext/>
      <w:keepLines/>
      <w:spacing w:before="480"/>
      <w:jc w:val="center"/>
    </w:pPr>
    <w:rPr>
      <w:caps/>
      <w:sz w:val="28"/>
    </w:rPr>
  </w:style>
  <w:style w:type="paragraph" w:customStyle="1" w:styleId="Rectitle">
    <w:name w:val="Rec_title"/>
    <w:basedOn w:val="RecNo"/>
    <w:next w:val="Recref"/>
    <w:rsid w:val="00F52741"/>
    <w:pPr>
      <w:spacing w:before="240"/>
    </w:pPr>
    <w:rPr>
      <w:b/>
      <w:caps w:val="0"/>
    </w:rPr>
  </w:style>
  <w:style w:type="paragraph" w:customStyle="1" w:styleId="Recref">
    <w:name w:val="Rec_ref"/>
    <w:basedOn w:val="Rectitle"/>
    <w:next w:val="Recdate"/>
    <w:rsid w:val="00F52741"/>
    <w:pPr>
      <w:tabs>
        <w:tab w:val="clear" w:pos="794"/>
        <w:tab w:val="clear" w:pos="1191"/>
        <w:tab w:val="clear" w:pos="1588"/>
        <w:tab w:val="clear" w:pos="1985"/>
      </w:tabs>
      <w:spacing w:before="120"/>
    </w:pPr>
    <w:rPr>
      <w:b w:val="0"/>
      <w:i/>
      <w:sz w:val="24"/>
    </w:rPr>
  </w:style>
  <w:style w:type="paragraph" w:customStyle="1" w:styleId="Recdate">
    <w:name w:val="Rec_date"/>
    <w:basedOn w:val="Recref"/>
    <w:next w:val="Normalaftertitle"/>
    <w:rsid w:val="00B37866"/>
    <w:pPr>
      <w:jc w:val="right"/>
    </w:pPr>
    <w:rPr>
      <w:sz w:val="22"/>
    </w:rPr>
  </w:style>
  <w:style w:type="paragraph" w:customStyle="1" w:styleId="Questiondate">
    <w:name w:val="Question_date"/>
    <w:basedOn w:val="Recdate"/>
    <w:next w:val="Normalaftertitle"/>
    <w:rsid w:val="00F52741"/>
  </w:style>
  <w:style w:type="paragraph" w:customStyle="1" w:styleId="QuestionNo">
    <w:name w:val="Question_No"/>
    <w:basedOn w:val="RecNo"/>
    <w:next w:val="Questiontitle"/>
    <w:rsid w:val="00B37866"/>
  </w:style>
  <w:style w:type="paragraph" w:customStyle="1" w:styleId="Questiontitle">
    <w:name w:val="Question_title"/>
    <w:basedOn w:val="Rectitle"/>
    <w:next w:val="Questionref"/>
    <w:rsid w:val="00F52741"/>
  </w:style>
  <w:style w:type="paragraph" w:customStyle="1" w:styleId="Questionref">
    <w:name w:val="Question_ref"/>
    <w:basedOn w:val="Recref"/>
    <w:next w:val="Questiondate"/>
    <w:rsid w:val="00F52741"/>
  </w:style>
  <w:style w:type="character" w:customStyle="1" w:styleId="Recdef">
    <w:name w:val="Rec_def"/>
    <w:basedOn w:val="DefaultParagraphFont"/>
    <w:rsid w:val="00F52741"/>
    <w:rPr>
      <w:rFonts w:asciiTheme="minorHAnsi" w:hAnsiTheme="minorHAnsi"/>
      <w:b/>
    </w:rPr>
  </w:style>
  <w:style w:type="paragraph" w:customStyle="1" w:styleId="Reftext">
    <w:name w:val="Ref_text"/>
    <w:basedOn w:val="Normal"/>
    <w:rsid w:val="00B37866"/>
    <w:pPr>
      <w:ind w:left="794" w:hanging="794"/>
    </w:pPr>
  </w:style>
  <w:style w:type="paragraph" w:customStyle="1" w:styleId="Reftitle">
    <w:name w:val="Ref_title"/>
    <w:basedOn w:val="Normal"/>
    <w:next w:val="Reftext"/>
    <w:rsid w:val="00B37866"/>
    <w:pPr>
      <w:spacing w:before="480"/>
      <w:jc w:val="center"/>
    </w:pPr>
    <w:rPr>
      <w:caps/>
    </w:rPr>
  </w:style>
  <w:style w:type="paragraph" w:customStyle="1" w:styleId="Repdate">
    <w:name w:val="Rep_date"/>
    <w:basedOn w:val="Recdate"/>
    <w:next w:val="Normalaftertitle"/>
    <w:rsid w:val="00B37866"/>
  </w:style>
  <w:style w:type="paragraph" w:customStyle="1" w:styleId="RepNo">
    <w:name w:val="Rep_No"/>
    <w:basedOn w:val="RecNo"/>
    <w:next w:val="Reptitle"/>
    <w:rsid w:val="00B37866"/>
  </w:style>
  <w:style w:type="paragraph" w:customStyle="1" w:styleId="Reptitle">
    <w:name w:val="Rep_title"/>
    <w:basedOn w:val="Rectitle"/>
    <w:next w:val="Repref"/>
    <w:rsid w:val="00B37866"/>
  </w:style>
  <w:style w:type="paragraph" w:customStyle="1" w:styleId="Repref">
    <w:name w:val="Rep_ref"/>
    <w:basedOn w:val="Recref"/>
    <w:next w:val="Repdate"/>
    <w:rsid w:val="00B37866"/>
  </w:style>
  <w:style w:type="paragraph" w:customStyle="1" w:styleId="Resdate">
    <w:name w:val="Res_date"/>
    <w:basedOn w:val="Recdate"/>
    <w:next w:val="Normalaftertitle"/>
    <w:rsid w:val="00B37866"/>
  </w:style>
  <w:style w:type="character" w:customStyle="1" w:styleId="Resdef">
    <w:name w:val="Res_def"/>
    <w:basedOn w:val="DefaultParagraphFont"/>
    <w:rsid w:val="00F52741"/>
    <w:rPr>
      <w:rFonts w:asciiTheme="minorHAnsi" w:hAnsiTheme="minorHAnsi"/>
      <w:b/>
    </w:rPr>
  </w:style>
  <w:style w:type="paragraph" w:customStyle="1" w:styleId="ResNo">
    <w:name w:val="Res_No"/>
    <w:basedOn w:val="RecNo"/>
    <w:next w:val="Restitle"/>
    <w:link w:val="ResNoChar"/>
    <w:rsid w:val="00B37866"/>
  </w:style>
  <w:style w:type="paragraph" w:customStyle="1" w:styleId="Restitle">
    <w:name w:val="Res_title"/>
    <w:basedOn w:val="Rectitle"/>
    <w:next w:val="Resref"/>
    <w:link w:val="RestitleChar"/>
    <w:rsid w:val="00B37866"/>
  </w:style>
  <w:style w:type="paragraph" w:customStyle="1" w:styleId="Resref">
    <w:name w:val="Res_ref"/>
    <w:basedOn w:val="Recref"/>
    <w:next w:val="Resdate"/>
    <w:rsid w:val="00B37866"/>
  </w:style>
  <w:style w:type="paragraph" w:customStyle="1" w:styleId="SectionNo">
    <w:name w:val="Section_No"/>
    <w:basedOn w:val="AnnexNo"/>
    <w:next w:val="Sectiontitle"/>
    <w:rsid w:val="00B37866"/>
  </w:style>
  <w:style w:type="paragraph" w:customStyle="1" w:styleId="Sectiontitle">
    <w:name w:val="Section_title"/>
    <w:basedOn w:val="Annextitle"/>
    <w:next w:val="Normalaftertitle"/>
    <w:rsid w:val="00B37866"/>
  </w:style>
  <w:style w:type="paragraph" w:customStyle="1" w:styleId="SpecialFooter">
    <w:name w:val="Special Footer"/>
    <w:basedOn w:val="Footer"/>
    <w:rsid w:val="00B37866"/>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F52741"/>
    <w:rPr>
      <w:rFonts w:asciiTheme="minorHAnsi" w:hAnsiTheme="minorHAnsi"/>
      <w:b/>
      <w:color w:val="auto"/>
    </w:rPr>
  </w:style>
  <w:style w:type="paragraph" w:customStyle="1" w:styleId="Tablehead">
    <w:name w:val="Table_head"/>
    <w:basedOn w:val="Tabletext"/>
    <w:next w:val="Tabletext"/>
    <w:rsid w:val="00B37866"/>
    <w:pPr>
      <w:keepNext/>
      <w:spacing w:before="80" w:after="80"/>
      <w:jc w:val="center"/>
    </w:pPr>
    <w:rPr>
      <w:b/>
    </w:rPr>
  </w:style>
  <w:style w:type="paragraph" w:customStyle="1" w:styleId="Tablelegend">
    <w:name w:val="Table_legend"/>
    <w:basedOn w:val="Tabletext"/>
    <w:rsid w:val="00B37866"/>
    <w:pPr>
      <w:spacing w:before="120"/>
    </w:pPr>
  </w:style>
  <w:style w:type="paragraph" w:customStyle="1" w:styleId="TableNo">
    <w:name w:val="Table_No"/>
    <w:basedOn w:val="Normal"/>
    <w:next w:val="Tabletitle"/>
    <w:rsid w:val="00B37866"/>
    <w:pPr>
      <w:keepNext/>
      <w:spacing w:before="560" w:after="120"/>
      <w:jc w:val="center"/>
    </w:pPr>
    <w:rPr>
      <w:caps/>
    </w:rPr>
  </w:style>
  <w:style w:type="paragraph" w:customStyle="1" w:styleId="Tableref">
    <w:name w:val="Table_ref"/>
    <w:basedOn w:val="Normal"/>
    <w:next w:val="Tabletitle"/>
    <w:rsid w:val="00B37866"/>
    <w:pPr>
      <w:keepNext/>
      <w:spacing w:before="0" w:after="120"/>
      <w:jc w:val="center"/>
    </w:pPr>
  </w:style>
  <w:style w:type="character" w:styleId="PageNumber">
    <w:name w:val="page number"/>
    <w:basedOn w:val="DefaultParagraphFont"/>
    <w:rsid w:val="00F52741"/>
    <w:rPr>
      <w:rFonts w:asciiTheme="minorHAnsi" w:hAnsiTheme="minorHAnsi"/>
    </w:rPr>
  </w:style>
  <w:style w:type="character" w:customStyle="1" w:styleId="HeaderChar">
    <w:name w:val="Header Char"/>
    <w:basedOn w:val="DefaultParagraphFont"/>
    <w:link w:val="Header"/>
    <w:uiPriority w:val="99"/>
    <w:rsid w:val="00005791"/>
    <w:rPr>
      <w:rFonts w:ascii="Times New Roman" w:hAnsi="Times New Roman"/>
      <w:sz w:val="18"/>
      <w:lang w:val="fr-FR" w:eastAsia="en-US"/>
    </w:rPr>
  </w:style>
  <w:style w:type="character" w:customStyle="1" w:styleId="FooterChar">
    <w:name w:val="Footer Char"/>
    <w:basedOn w:val="DefaultParagraphFont"/>
    <w:link w:val="Footer"/>
    <w:rsid w:val="0056423B"/>
    <w:rPr>
      <w:rFonts w:ascii="Times New Roman" w:hAnsi="Times New Roman"/>
      <w:caps/>
      <w:noProof/>
      <w:sz w:val="16"/>
      <w:lang w:val="fr-FR" w:eastAsia="en-US"/>
    </w:rPr>
  </w:style>
  <w:style w:type="table" w:styleId="TableGrid">
    <w:name w:val="Table Grid"/>
    <w:basedOn w:val="TableNormal"/>
    <w:rsid w:val="0014700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mmittee">
    <w:name w:val="Committee"/>
    <w:basedOn w:val="Normal"/>
    <w:qFormat/>
    <w:rsid w:val="001A163D"/>
    <w:rPr>
      <w:rFonts w:cs="Times New Roman Bold"/>
      <w:b/>
      <w:caps/>
    </w:rPr>
  </w:style>
  <w:style w:type="paragraph" w:customStyle="1" w:styleId="CEOcontributionStart">
    <w:name w:val="CEO_contributionStart"/>
    <w:next w:val="Normal"/>
    <w:rsid w:val="00942A8A"/>
    <w:pPr>
      <w:spacing w:before="360" w:after="120"/>
    </w:pPr>
    <w:rPr>
      <w:rFonts w:ascii="Calibri" w:eastAsia="SimHei" w:hAnsi="Calibri" w:cs="Simplified Arabic"/>
      <w:sz w:val="24"/>
      <w:szCs w:val="28"/>
      <w:lang w:val="en-GB" w:eastAsia="en-US"/>
    </w:rPr>
  </w:style>
  <w:style w:type="character" w:styleId="Hyperlink">
    <w:name w:val="Hyperlink"/>
    <w:basedOn w:val="DefaultParagraphFont"/>
    <w:rsid w:val="00210259"/>
    <w:rPr>
      <w:color w:val="0000FF" w:themeColor="hyperlink"/>
      <w:u w:val="single"/>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link w:val="FootnoteText"/>
    <w:locked/>
    <w:rsid w:val="00E35089"/>
    <w:rPr>
      <w:rFonts w:asciiTheme="minorHAnsi" w:hAnsiTheme="minorHAnsi"/>
      <w:sz w:val="24"/>
      <w:lang w:val="en-GB" w:eastAsia="en-US"/>
    </w:rPr>
  </w:style>
  <w:style w:type="character" w:customStyle="1" w:styleId="CallChar">
    <w:name w:val="Call Char"/>
    <w:link w:val="Call"/>
    <w:uiPriority w:val="99"/>
    <w:locked/>
    <w:rsid w:val="00E35089"/>
    <w:rPr>
      <w:rFonts w:asciiTheme="minorHAnsi" w:hAnsiTheme="minorHAnsi"/>
      <w:i/>
      <w:sz w:val="24"/>
      <w:lang w:val="en-GB" w:eastAsia="en-US"/>
    </w:rPr>
  </w:style>
  <w:style w:type="character" w:customStyle="1" w:styleId="ResNoChar">
    <w:name w:val="Res_No Char"/>
    <w:link w:val="ResNo"/>
    <w:locked/>
    <w:rsid w:val="00E35089"/>
    <w:rPr>
      <w:rFonts w:asciiTheme="minorHAnsi" w:hAnsiTheme="minorHAnsi"/>
      <w:caps/>
      <w:sz w:val="28"/>
      <w:lang w:val="en-GB" w:eastAsia="en-US"/>
    </w:rPr>
  </w:style>
  <w:style w:type="character" w:customStyle="1" w:styleId="RestitleChar">
    <w:name w:val="Res_title Char"/>
    <w:link w:val="Restitle"/>
    <w:locked/>
    <w:rsid w:val="00E35089"/>
    <w:rPr>
      <w:rFonts w:asciiTheme="minorHAnsi" w:hAnsiTheme="minorHAnsi"/>
      <w:b/>
      <w:sz w:val="28"/>
      <w:lang w:val="en-GB" w:eastAsia="en-US"/>
    </w:rPr>
  </w:style>
  <w:style w:type="character" w:customStyle="1" w:styleId="NormalaftertitleChar">
    <w:name w:val="Normal after title Char"/>
    <w:link w:val="Normalaftertitle"/>
    <w:locked/>
    <w:rsid w:val="00E35089"/>
    <w:rPr>
      <w:rFonts w:asciiTheme="minorHAnsi" w:hAnsiTheme="minorHAnsi"/>
      <w:sz w:val="24"/>
      <w:lang w:val="en-GB" w:eastAsia="en-US"/>
    </w:rPr>
  </w:style>
  <w:style w:type="character" w:customStyle="1" w:styleId="enumlev1Char">
    <w:name w:val="enumlev1 Char"/>
    <w:link w:val="enumlev1"/>
    <w:uiPriority w:val="99"/>
    <w:locked/>
    <w:rsid w:val="00E35089"/>
    <w:rPr>
      <w:rFonts w:asciiTheme="minorHAnsi" w:hAnsiTheme="minorHAnsi"/>
      <w:sz w:val="24"/>
      <w:lang w:val="en-GB" w:eastAsia="en-US"/>
    </w:rPr>
  </w:style>
  <w:style w:type="character" w:customStyle="1" w:styleId="ColorfulList-Accent1Char">
    <w:name w:val="Colorful List - Accent 1 Char"/>
    <w:aliases w:val="List Paragraph1 Char,Recommendation Char,List Paragraph11 Char"/>
    <w:link w:val="ColorfulList-Accent1"/>
    <w:uiPriority w:val="34"/>
    <w:locked/>
    <w:rsid w:val="00CA6190"/>
    <w:rPr>
      <w:sz w:val="24"/>
      <w:szCs w:val="24"/>
      <w:lang w:val="en-US" w:eastAsia="ja-JP"/>
    </w:rPr>
  </w:style>
  <w:style w:type="table" w:styleId="ColorfulList-Accent1">
    <w:name w:val="Colorful List Accent 1"/>
    <w:basedOn w:val="TableNormal"/>
    <w:link w:val="ColorfulList-Accent1Char"/>
    <w:uiPriority w:val="34"/>
    <w:rsid w:val="00CA6190"/>
    <w:rPr>
      <w:sz w:val="24"/>
      <w:szCs w:val="24"/>
      <w:lang w:eastAsia="ja-JP"/>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1657"/>
    <w:pPr>
      <w:tabs>
        <w:tab w:val="left" w:pos="794"/>
        <w:tab w:val="left" w:pos="1191"/>
        <w:tab w:val="left" w:pos="1588"/>
        <w:tab w:val="left" w:pos="1985"/>
      </w:tabs>
      <w:overflowPunct w:val="0"/>
      <w:autoSpaceDE w:val="0"/>
      <w:autoSpaceDN w:val="0"/>
      <w:adjustRightInd w:val="0"/>
      <w:spacing w:before="120"/>
      <w:textAlignment w:val="baseline"/>
    </w:pPr>
    <w:rPr>
      <w:rFonts w:asciiTheme="minorHAnsi" w:hAnsiTheme="minorHAnsi"/>
      <w:sz w:val="24"/>
      <w:lang w:val="en-GB" w:eastAsia="en-US"/>
    </w:rPr>
  </w:style>
  <w:style w:type="paragraph" w:styleId="Heading1">
    <w:name w:val="heading 1"/>
    <w:basedOn w:val="Normal"/>
    <w:next w:val="Normal"/>
    <w:qFormat/>
    <w:rsid w:val="00B37866"/>
    <w:pPr>
      <w:keepNext/>
      <w:keepLines/>
      <w:spacing w:before="280"/>
      <w:ind w:left="794" w:hanging="794"/>
      <w:outlineLvl w:val="0"/>
    </w:pPr>
    <w:rPr>
      <w:b/>
      <w:sz w:val="28"/>
    </w:rPr>
  </w:style>
  <w:style w:type="paragraph" w:styleId="Heading2">
    <w:name w:val="heading 2"/>
    <w:basedOn w:val="Heading1"/>
    <w:next w:val="Normal"/>
    <w:qFormat/>
    <w:rsid w:val="00B37866"/>
    <w:pPr>
      <w:spacing w:before="200"/>
      <w:outlineLvl w:val="1"/>
    </w:pPr>
    <w:rPr>
      <w:sz w:val="24"/>
    </w:rPr>
  </w:style>
  <w:style w:type="paragraph" w:styleId="Heading3">
    <w:name w:val="heading 3"/>
    <w:basedOn w:val="Heading1"/>
    <w:next w:val="Normal"/>
    <w:qFormat/>
    <w:rsid w:val="00B37866"/>
    <w:pPr>
      <w:spacing w:before="200"/>
      <w:outlineLvl w:val="2"/>
    </w:pPr>
    <w:rPr>
      <w:sz w:val="24"/>
    </w:rPr>
  </w:style>
  <w:style w:type="paragraph" w:styleId="Heading4">
    <w:name w:val="heading 4"/>
    <w:basedOn w:val="Heading3"/>
    <w:next w:val="Normal"/>
    <w:qFormat/>
    <w:rsid w:val="00B37866"/>
    <w:pPr>
      <w:tabs>
        <w:tab w:val="clear" w:pos="794"/>
        <w:tab w:val="left" w:pos="992"/>
      </w:tabs>
      <w:ind w:left="992" w:hanging="992"/>
      <w:outlineLvl w:val="3"/>
    </w:pPr>
  </w:style>
  <w:style w:type="paragraph" w:styleId="Heading5">
    <w:name w:val="heading 5"/>
    <w:basedOn w:val="Heading4"/>
    <w:next w:val="Normal"/>
    <w:qFormat/>
    <w:rsid w:val="00B37866"/>
    <w:pPr>
      <w:outlineLvl w:val="4"/>
    </w:pPr>
  </w:style>
  <w:style w:type="paragraph" w:styleId="Heading6">
    <w:name w:val="heading 6"/>
    <w:basedOn w:val="Heading4"/>
    <w:next w:val="Normal"/>
    <w:qFormat/>
    <w:rsid w:val="00B37866"/>
    <w:pPr>
      <w:tabs>
        <w:tab w:val="clear" w:pos="992"/>
        <w:tab w:val="clear" w:pos="1191"/>
      </w:tabs>
      <w:ind w:left="1588" w:hanging="1588"/>
      <w:outlineLvl w:val="5"/>
    </w:pPr>
  </w:style>
  <w:style w:type="paragraph" w:styleId="Heading7">
    <w:name w:val="heading 7"/>
    <w:basedOn w:val="Heading6"/>
    <w:next w:val="Normal"/>
    <w:qFormat/>
    <w:rsid w:val="00B37866"/>
    <w:pPr>
      <w:outlineLvl w:val="6"/>
    </w:pPr>
  </w:style>
  <w:style w:type="paragraph" w:styleId="Heading8">
    <w:name w:val="heading 8"/>
    <w:basedOn w:val="Heading6"/>
    <w:next w:val="Normal"/>
    <w:qFormat/>
    <w:rsid w:val="00B37866"/>
    <w:pPr>
      <w:outlineLvl w:val="7"/>
    </w:pPr>
  </w:style>
  <w:style w:type="paragraph" w:styleId="Heading9">
    <w:name w:val="heading 9"/>
    <w:basedOn w:val="Heading6"/>
    <w:next w:val="Normal"/>
    <w:qFormat/>
    <w:rsid w:val="00B3786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4"/>
    <w:semiHidden/>
    <w:rsid w:val="00B37866"/>
  </w:style>
  <w:style w:type="paragraph" w:styleId="TOC4">
    <w:name w:val="toc 4"/>
    <w:basedOn w:val="TOC3"/>
    <w:semiHidden/>
    <w:rsid w:val="00B37866"/>
  </w:style>
  <w:style w:type="paragraph" w:styleId="TOC3">
    <w:name w:val="toc 3"/>
    <w:basedOn w:val="TOC2"/>
    <w:rsid w:val="00B37866"/>
  </w:style>
  <w:style w:type="paragraph" w:styleId="TOC2">
    <w:name w:val="toc 2"/>
    <w:basedOn w:val="TOC1"/>
    <w:rsid w:val="00B37866"/>
    <w:pPr>
      <w:spacing w:before="120"/>
    </w:pPr>
  </w:style>
  <w:style w:type="paragraph" w:styleId="TOC1">
    <w:name w:val="toc 1"/>
    <w:basedOn w:val="Normal"/>
    <w:rsid w:val="00B37866"/>
    <w:pPr>
      <w:keepLines/>
      <w:tabs>
        <w:tab w:val="clear" w:pos="794"/>
        <w:tab w:val="clear" w:pos="1191"/>
        <w:tab w:val="clear" w:pos="1588"/>
        <w:tab w:val="clear" w:pos="1985"/>
        <w:tab w:val="left" w:pos="964"/>
        <w:tab w:val="left" w:leader="dot" w:pos="8647"/>
        <w:tab w:val="center" w:pos="9526"/>
      </w:tabs>
      <w:spacing w:before="240"/>
      <w:ind w:left="964" w:hanging="964"/>
    </w:pPr>
  </w:style>
  <w:style w:type="paragraph" w:styleId="TOC7">
    <w:name w:val="toc 7"/>
    <w:basedOn w:val="TOC4"/>
    <w:semiHidden/>
    <w:rsid w:val="00B37866"/>
  </w:style>
  <w:style w:type="paragraph" w:styleId="TOC6">
    <w:name w:val="toc 6"/>
    <w:basedOn w:val="TOC4"/>
    <w:semiHidden/>
    <w:rsid w:val="00B37866"/>
  </w:style>
  <w:style w:type="paragraph" w:styleId="TOC5">
    <w:name w:val="toc 5"/>
    <w:basedOn w:val="TOC4"/>
    <w:semiHidden/>
    <w:rsid w:val="00B37866"/>
  </w:style>
  <w:style w:type="paragraph" w:styleId="Index7">
    <w:name w:val="index 7"/>
    <w:basedOn w:val="Normal"/>
    <w:next w:val="Normal"/>
    <w:semiHidden/>
    <w:rsid w:val="00B37866"/>
    <w:pPr>
      <w:ind w:left="1698"/>
    </w:pPr>
  </w:style>
  <w:style w:type="paragraph" w:styleId="Index6">
    <w:name w:val="index 6"/>
    <w:basedOn w:val="Normal"/>
    <w:next w:val="Normal"/>
    <w:semiHidden/>
    <w:rsid w:val="00B37866"/>
    <w:pPr>
      <w:ind w:left="1415"/>
    </w:pPr>
  </w:style>
  <w:style w:type="paragraph" w:styleId="Index5">
    <w:name w:val="index 5"/>
    <w:basedOn w:val="Normal"/>
    <w:next w:val="Normal"/>
    <w:semiHidden/>
    <w:rsid w:val="00B37866"/>
    <w:pPr>
      <w:ind w:left="1132"/>
    </w:pPr>
  </w:style>
  <w:style w:type="paragraph" w:styleId="Index4">
    <w:name w:val="index 4"/>
    <w:basedOn w:val="Normal"/>
    <w:next w:val="Normal"/>
    <w:semiHidden/>
    <w:rsid w:val="00B37866"/>
    <w:pPr>
      <w:ind w:left="849"/>
    </w:pPr>
  </w:style>
  <w:style w:type="paragraph" w:styleId="Index3">
    <w:name w:val="index 3"/>
    <w:basedOn w:val="Normal"/>
    <w:next w:val="Normal"/>
    <w:semiHidden/>
    <w:rsid w:val="00B37866"/>
    <w:pPr>
      <w:ind w:left="566"/>
    </w:pPr>
  </w:style>
  <w:style w:type="paragraph" w:styleId="Index2">
    <w:name w:val="index 2"/>
    <w:basedOn w:val="Normal"/>
    <w:next w:val="Normal"/>
    <w:semiHidden/>
    <w:rsid w:val="00B37866"/>
    <w:pPr>
      <w:ind w:left="283"/>
    </w:pPr>
  </w:style>
  <w:style w:type="paragraph" w:styleId="Index1">
    <w:name w:val="index 1"/>
    <w:basedOn w:val="Normal"/>
    <w:next w:val="Normal"/>
    <w:semiHidden/>
    <w:rsid w:val="00B37866"/>
  </w:style>
  <w:style w:type="character" w:styleId="LineNumber">
    <w:name w:val="line number"/>
    <w:basedOn w:val="DefaultParagraphFont"/>
    <w:rsid w:val="00B37866"/>
  </w:style>
  <w:style w:type="paragraph" w:styleId="IndexHeading">
    <w:name w:val="index heading"/>
    <w:basedOn w:val="Normal"/>
    <w:next w:val="Index1"/>
    <w:semiHidden/>
    <w:rsid w:val="00B37866"/>
  </w:style>
  <w:style w:type="paragraph" w:styleId="Footer">
    <w:name w:val="footer"/>
    <w:basedOn w:val="Normal"/>
    <w:link w:val="FooterChar"/>
    <w:rsid w:val="00B37866"/>
    <w:pPr>
      <w:tabs>
        <w:tab w:val="clear" w:pos="794"/>
        <w:tab w:val="clear" w:pos="1191"/>
        <w:tab w:val="clear" w:pos="1588"/>
        <w:tab w:val="clear" w:pos="1985"/>
        <w:tab w:val="left" w:pos="5954"/>
        <w:tab w:val="right" w:pos="9639"/>
      </w:tabs>
      <w:spacing w:before="0"/>
    </w:pPr>
    <w:rPr>
      <w:caps/>
      <w:noProof/>
      <w:sz w:val="16"/>
      <w:lang w:val="fr-FR"/>
    </w:rPr>
  </w:style>
  <w:style w:type="paragraph" w:styleId="Header">
    <w:name w:val="header"/>
    <w:basedOn w:val="Normal"/>
    <w:link w:val="HeaderChar"/>
    <w:uiPriority w:val="99"/>
    <w:rsid w:val="00B37866"/>
    <w:pPr>
      <w:tabs>
        <w:tab w:val="clear" w:pos="794"/>
        <w:tab w:val="clear" w:pos="1191"/>
        <w:tab w:val="clear" w:pos="1588"/>
        <w:tab w:val="clear" w:pos="1985"/>
      </w:tabs>
      <w:spacing w:before="0"/>
      <w:jc w:val="center"/>
    </w:pPr>
    <w:rPr>
      <w:sz w:val="18"/>
      <w:lang w:val="fr-FR"/>
    </w:rPr>
  </w:style>
  <w:style w:type="character" w:styleId="FootnoteReference">
    <w:name w:val="footnote reference"/>
    <w:aliases w:val="Appel note de bas de p,Footnote Reference/,Footnote symbol,Ref,de nota al pie"/>
    <w:basedOn w:val="DefaultParagraphFont"/>
    <w:uiPriority w:val="99"/>
    <w:rsid w:val="00F52741"/>
    <w:rPr>
      <w:rFonts w:asciiTheme="minorHAnsi" w:hAnsiTheme="minorHAnsi"/>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rsid w:val="00B37866"/>
    <w:pPr>
      <w:keepLines/>
      <w:tabs>
        <w:tab w:val="left" w:pos="255"/>
      </w:tabs>
      <w:ind w:left="255" w:hanging="255"/>
    </w:pPr>
  </w:style>
  <w:style w:type="paragraph" w:styleId="NormalIndent">
    <w:name w:val="Normal Indent"/>
    <w:basedOn w:val="Normal"/>
    <w:rsid w:val="00B37866"/>
    <w:pPr>
      <w:ind w:left="794"/>
    </w:pPr>
  </w:style>
  <w:style w:type="paragraph" w:customStyle="1" w:styleId="enumlev1">
    <w:name w:val="enumlev1"/>
    <w:basedOn w:val="Normal"/>
    <w:link w:val="enumlev1Char"/>
    <w:uiPriority w:val="99"/>
    <w:rsid w:val="00B37866"/>
    <w:pPr>
      <w:spacing w:before="80"/>
      <w:ind w:left="794" w:hanging="794"/>
    </w:pPr>
  </w:style>
  <w:style w:type="paragraph" w:customStyle="1" w:styleId="enumlev2">
    <w:name w:val="enumlev2"/>
    <w:basedOn w:val="enumlev1"/>
    <w:rsid w:val="00B37866"/>
    <w:pPr>
      <w:ind w:left="1191" w:hanging="397"/>
    </w:pPr>
  </w:style>
  <w:style w:type="paragraph" w:customStyle="1" w:styleId="enumlev3">
    <w:name w:val="enumlev3"/>
    <w:basedOn w:val="enumlev2"/>
    <w:rsid w:val="00B37866"/>
    <w:pPr>
      <w:ind w:left="1588"/>
    </w:pPr>
  </w:style>
  <w:style w:type="paragraph" w:customStyle="1" w:styleId="Normalaftertitle">
    <w:name w:val="Normal after title"/>
    <w:basedOn w:val="Normal"/>
    <w:next w:val="Normal"/>
    <w:link w:val="NormalaftertitleChar"/>
    <w:rsid w:val="00B37866"/>
    <w:pPr>
      <w:spacing w:before="280"/>
    </w:pPr>
  </w:style>
  <w:style w:type="paragraph" w:customStyle="1" w:styleId="Equation">
    <w:name w:val="Equation"/>
    <w:basedOn w:val="Normal"/>
    <w:rsid w:val="00B37866"/>
    <w:pPr>
      <w:tabs>
        <w:tab w:val="clear" w:pos="1191"/>
        <w:tab w:val="clear" w:pos="1588"/>
        <w:tab w:val="clear" w:pos="1985"/>
        <w:tab w:val="center" w:pos="4820"/>
        <w:tab w:val="right" w:pos="9639"/>
      </w:tabs>
    </w:pPr>
  </w:style>
  <w:style w:type="paragraph" w:customStyle="1" w:styleId="toc0">
    <w:name w:val="toc 0"/>
    <w:basedOn w:val="Normal"/>
    <w:next w:val="TOC1"/>
    <w:rsid w:val="00B37866"/>
    <w:pPr>
      <w:tabs>
        <w:tab w:val="clear" w:pos="794"/>
        <w:tab w:val="clear" w:pos="1191"/>
        <w:tab w:val="clear" w:pos="1588"/>
        <w:tab w:val="clear" w:pos="1985"/>
        <w:tab w:val="right" w:pos="9781"/>
      </w:tabs>
    </w:pPr>
    <w:rPr>
      <w:b/>
    </w:rPr>
  </w:style>
  <w:style w:type="paragraph" w:customStyle="1" w:styleId="AnnexNo">
    <w:name w:val="Annex_No"/>
    <w:basedOn w:val="Normal"/>
    <w:next w:val="Annexref"/>
    <w:rsid w:val="00B37866"/>
    <w:pPr>
      <w:keepNext/>
      <w:keepLines/>
      <w:spacing w:before="480" w:after="80"/>
      <w:jc w:val="center"/>
    </w:pPr>
    <w:rPr>
      <w:caps/>
      <w:sz w:val="28"/>
    </w:rPr>
  </w:style>
  <w:style w:type="paragraph" w:customStyle="1" w:styleId="ASN1">
    <w:name w:val="ASN.1"/>
    <w:basedOn w:val="Normal"/>
    <w:rsid w:val="00B37866"/>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Note">
    <w:name w:val="Note"/>
    <w:basedOn w:val="Normal"/>
    <w:rsid w:val="00B37866"/>
    <w:pPr>
      <w:spacing w:before="80"/>
    </w:pPr>
  </w:style>
  <w:style w:type="paragraph" w:styleId="TOC9">
    <w:name w:val="toc 9"/>
    <w:basedOn w:val="TOC3"/>
    <w:next w:val="Normal"/>
    <w:semiHidden/>
    <w:rsid w:val="00B37866"/>
  </w:style>
  <w:style w:type="paragraph" w:customStyle="1" w:styleId="Source">
    <w:name w:val="Source"/>
    <w:basedOn w:val="Normal"/>
    <w:next w:val="Normalaftertitle"/>
    <w:rsid w:val="001A163D"/>
    <w:rPr>
      <w:b/>
    </w:rPr>
  </w:style>
  <w:style w:type="paragraph" w:customStyle="1" w:styleId="Title1">
    <w:name w:val="Title 1"/>
    <w:basedOn w:val="Source"/>
    <w:next w:val="Title2"/>
    <w:rsid w:val="00F52741"/>
    <w:pPr>
      <w:tabs>
        <w:tab w:val="clear" w:pos="794"/>
        <w:tab w:val="clear" w:pos="1191"/>
        <w:tab w:val="clear" w:pos="1588"/>
        <w:tab w:val="clear" w:pos="1985"/>
        <w:tab w:val="left" w:pos="567"/>
        <w:tab w:val="left" w:pos="1134"/>
        <w:tab w:val="left" w:pos="1701"/>
        <w:tab w:val="left" w:pos="2268"/>
        <w:tab w:val="left" w:pos="2835"/>
      </w:tabs>
      <w:spacing w:before="240"/>
    </w:pPr>
    <w:rPr>
      <w:rFonts w:cs="Times New Roman Bold"/>
    </w:rPr>
  </w:style>
  <w:style w:type="paragraph" w:customStyle="1" w:styleId="Title2">
    <w:name w:val="Title 2"/>
    <w:basedOn w:val="Title1"/>
    <w:next w:val="Title3"/>
    <w:rsid w:val="00B37866"/>
  </w:style>
  <w:style w:type="paragraph" w:customStyle="1" w:styleId="Title3">
    <w:name w:val="Title 3"/>
    <w:basedOn w:val="Title2"/>
    <w:next w:val="Title4"/>
    <w:rsid w:val="00B37866"/>
  </w:style>
  <w:style w:type="paragraph" w:customStyle="1" w:styleId="Title4">
    <w:name w:val="Title 4"/>
    <w:basedOn w:val="Title3"/>
    <w:next w:val="Heading1"/>
    <w:rsid w:val="00B37866"/>
  </w:style>
  <w:style w:type="paragraph" w:customStyle="1" w:styleId="FirstFooter">
    <w:name w:val="FirstFooter"/>
    <w:basedOn w:val="Footer"/>
    <w:rsid w:val="00B37866"/>
    <w:pPr>
      <w:tabs>
        <w:tab w:val="clear" w:pos="5954"/>
        <w:tab w:val="clear" w:pos="9639"/>
      </w:tabs>
      <w:overflowPunct/>
      <w:autoSpaceDE/>
      <w:autoSpaceDN/>
      <w:adjustRightInd/>
      <w:spacing w:before="40"/>
      <w:textAlignment w:val="auto"/>
    </w:pPr>
    <w:rPr>
      <w:caps w:val="0"/>
      <w:noProof w:val="0"/>
    </w:rPr>
  </w:style>
  <w:style w:type="paragraph" w:customStyle="1" w:styleId="Annexref">
    <w:name w:val="Annex_ref"/>
    <w:basedOn w:val="Normal"/>
    <w:next w:val="Annextitle"/>
    <w:rsid w:val="00B37866"/>
    <w:pPr>
      <w:keepNext/>
      <w:keepLines/>
      <w:spacing w:after="280"/>
      <w:jc w:val="center"/>
    </w:pPr>
  </w:style>
  <w:style w:type="paragraph" w:customStyle="1" w:styleId="Annextitle">
    <w:name w:val="Annex_title"/>
    <w:basedOn w:val="Normal"/>
    <w:next w:val="Normalaftertitle"/>
    <w:rsid w:val="00F52741"/>
    <w:pPr>
      <w:keepNext/>
      <w:keepLines/>
      <w:spacing w:before="240" w:after="280"/>
      <w:jc w:val="center"/>
    </w:pPr>
    <w:rPr>
      <w:b/>
      <w:sz w:val="28"/>
    </w:rPr>
  </w:style>
  <w:style w:type="character" w:customStyle="1" w:styleId="Appdef">
    <w:name w:val="App_def"/>
    <w:basedOn w:val="DefaultParagraphFont"/>
    <w:rsid w:val="00F52741"/>
    <w:rPr>
      <w:rFonts w:asciiTheme="minorHAnsi" w:hAnsiTheme="minorHAnsi"/>
      <w:b/>
    </w:rPr>
  </w:style>
  <w:style w:type="character" w:customStyle="1" w:styleId="Appref">
    <w:name w:val="App_ref"/>
    <w:basedOn w:val="DefaultParagraphFont"/>
    <w:rsid w:val="00F52741"/>
    <w:rPr>
      <w:rFonts w:asciiTheme="minorHAnsi" w:hAnsiTheme="minorHAnsi"/>
    </w:rPr>
  </w:style>
  <w:style w:type="paragraph" w:customStyle="1" w:styleId="AppendixNo">
    <w:name w:val="Appendix_No"/>
    <w:basedOn w:val="AnnexNo"/>
    <w:next w:val="Annexref"/>
    <w:rsid w:val="00B37866"/>
  </w:style>
  <w:style w:type="paragraph" w:customStyle="1" w:styleId="Appendixref">
    <w:name w:val="Appendix_ref"/>
    <w:basedOn w:val="Annexref"/>
    <w:next w:val="Annextitle"/>
    <w:rsid w:val="00B37866"/>
  </w:style>
  <w:style w:type="paragraph" w:customStyle="1" w:styleId="Appendixtitle">
    <w:name w:val="Appendix_title"/>
    <w:basedOn w:val="Annextitle"/>
    <w:next w:val="Normalaftertitle"/>
    <w:rsid w:val="00B37866"/>
  </w:style>
  <w:style w:type="character" w:customStyle="1" w:styleId="Artdef">
    <w:name w:val="Art_def"/>
    <w:basedOn w:val="DefaultParagraphFont"/>
    <w:rsid w:val="00F52741"/>
    <w:rPr>
      <w:rFonts w:asciiTheme="minorHAnsi" w:hAnsiTheme="minorHAnsi"/>
      <w:b/>
    </w:rPr>
  </w:style>
  <w:style w:type="paragraph" w:customStyle="1" w:styleId="Artheading">
    <w:name w:val="Art_heading"/>
    <w:basedOn w:val="Normal"/>
    <w:next w:val="Normalaftertitle"/>
    <w:rsid w:val="00F52741"/>
    <w:pPr>
      <w:spacing w:before="480"/>
      <w:jc w:val="center"/>
    </w:pPr>
    <w:rPr>
      <w:b/>
      <w:sz w:val="28"/>
    </w:rPr>
  </w:style>
  <w:style w:type="paragraph" w:customStyle="1" w:styleId="ArtNo">
    <w:name w:val="Art_No"/>
    <w:basedOn w:val="Normal"/>
    <w:next w:val="Arttitle"/>
    <w:rsid w:val="00B37866"/>
    <w:pPr>
      <w:keepNext/>
      <w:keepLines/>
      <w:spacing w:before="480"/>
      <w:jc w:val="center"/>
    </w:pPr>
    <w:rPr>
      <w:caps/>
      <w:sz w:val="28"/>
    </w:rPr>
  </w:style>
  <w:style w:type="paragraph" w:customStyle="1" w:styleId="Arttitle">
    <w:name w:val="Art_title"/>
    <w:basedOn w:val="Normal"/>
    <w:next w:val="Normalaftertitle"/>
    <w:rsid w:val="00B37866"/>
    <w:pPr>
      <w:keepNext/>
      <w:keepLines/>
      <w:spacing w:before="240"/>
      <w:jc w:val="center"/>
    </w:pPr>
    <w:rPr>
      <w:b/>
      <w:sz w:val="28"/>
    </w:rPr>
  </w:style>
  <w:style w:type="character" w:customStyle="1" w:styleId="Artref">
    <w:name w:val="Art_ref"/>
    <w:basedOn w:val="DefaultParagraphFont"/>
    <w:rsid w:val="00B37866"/>
  </w:style>
  <w:style w:type="paragraph" w:customStyle="1" w:styleId="Call">
    <w:name w:val="Call"/>
    <w:basedOn w:val="Normal"/>
    <w:next w:val="Normal"/>
    <w:link w:val="CallChar"/>
    <w:uiPriority w:val="99"/>
    <w:rsid w:val="00B37866"/>
    <w:pPr>
      <w:keepNext/>
      <w:keepLines/>
      <w:spacing w:before="160"/>
      <w:ind w:left="794"/>
    </w:pPr>
    <w:rPr>
      <w:i/>
    </w:rPr>
  </w:style>
  <w:style w:type="paragraph" w:customStyle="1" w:styleId="ChapNo">
    <w:name w:val="Chap_No"/>
    <w:basedOn w:val="ArtNo"/>
    <w:next w:val="Chaptitle"/>
    <w:rsid w:val="00F52741"/>
    <w:rPr>
      <w:b/>
    </w:rPr>
  </w:style>
  <w:style w:type="paragraph" w:customStyle="1" w:styleId="Chaptitle">
    <w:name w:val="Chap_title"/>
    <w:basedOn w:val="Arttitle"/>
    <w:next w:val="Normalaftertitle"/>
    <w:rsid w:val="00B37866"/>
  </w:style>
  <w:style w:type="paragraph" w:customStyle="1" w:styleId="ddate">
    <w:name w:val="ddate"/>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paragraph" w:customStyle="1" w:styleId="dnum">
    <w:name w:val="dnum"/>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pPr>
    <w:rPr>
      <w:b/>
      <w:bCs/>
    </w:rPr>
  </w:style>
  <w:style w:type="paragraph" w:customStyle="1" w:styleId="dorlang">
    <w:name w:val="dorlang"/>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character" w:styleId="EndnoteReference">
    <w:name w:val="endnote reference"/>
    <w:basedOn w:val="DefaultParagraphFont"/>
    <w:semiHidden/>
    <w:rsid w:val="00B37866"/>
    <w:rPr>
      <w:vertAlign w:val="superscript"/>
    </w:rPr>
  </w:style>
  <w:style w:type="paragraph" w:customStyle="1" w:styleId="Equationlegend">
    <w:name w:val="Equation_legend"/>
    <w:basedOn w:val="Normal"/>
    <w:rsid w:val="00B37866"/>
    <w:pPr>
      <w:tabs>
        <w:tab w:val="clear" w:pos="794"/>
        <w:tab w:val="clear" w:pos="1191"/>
        <w:tab w:val="clear" w:pos="1588"/>
        <w:tab w:val="clear" w:pos="1985"/>
        <w:tab w:val="right" w:pos="1531"/>
        <w:tab w:val="left" w:pos="1701"/>
      </w:tabs>
      <w:spacing w:before="80"/>
      <w:ind w:left="1701" w:hanging="1701"/>
    </w:pPr>
  </w:style>
  <w:style w:type="paragraph" w:customStyle="1" w:styleId="Figurelegend">
    <w:name w:val="Figure_legend"/>
    <w:basedOn w:val="Normal"/>
    <w:rsid w:val="00B37866"/>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B37866"/>
    <w:pPr>
      <w:keepNext/>
      <w:keepLines/>
      <w:spacing w:before="480" w:after="120"/>
      <w:jc w:val="center"/>
    </w:pPr>
    <w:rPr>
      <w:caps/>
    </w:rPr>
  </w:style>
  <w:style w:type="paragraph" w:customStyle="1" w:styleId="Figuretitle">
    <w:name w:val="Figure_title"/>
    <w:basedOn w:val="Tabletitle"/>
    <w:next w:val="Normal"/>
    <w:rsid w:val="00F52741"/>
    <w:pPr>
      <w:keepNext w:val="0"/>
      <w:spacing w:after="480"/>
    </w:pPr>
  </w:style>
  <w:style w:type="paragraph" w:customStyle="1" w:styleId="Tabletitle">
    <w:name w:val="Table_title"/>
    <w:basedOn w:val="Normal"/>
    <w:next w:val="Tabletext"/>
    <w:rsid w:val="00F52741"/>
    <w:pPr>
      <w:keepNext/>
      <w:keepLines/>
      <w:spacing w:before="0" w:after="120"/>
      <w:jc w:val="center"/>
    </w:pPr>
    <w:rPr>
      <w:b/>
    </w:rPr>
  </w:style>
  <w:style w:type="paragraph" w:customStyle="1" w:styleId="Tabletext">
    <w:name w:val="Table_text"/>
    <w:basedOn w:val="Normal"/>
    <w:rsid w:val="00B37866"/>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FigureNo"/>
    <w:next w:val="Normal"/>
    <w:rsid w:val="00B37866"/>
    <w:pPr>
      <w:keepNext w:val="0"/>
    </w:pPr>
  </w:style>
  <w:style w:type="paragraph" w:customStyle="1" w:styleId="Headingb">
    <w:name w:val="Heading_b"/>
    <w:basedOn w:val="Normal"/>
    <w:next w:val="Normal"/>
    <w:rsid w:val="00F52741"/>
    <w:pPr>
      <w:keepNext/>
      <w:spacing w:before="160"/>
    </w:pPr>
    <w:rPr>
      <w:b/>
    </w:rPr>
  </w:style>
  <w:style w:type="paragraph" w:customStyle="1" w:styleId="Headingi">
    <w:name w:val="Heading_i"/>
    <w:basedOn w:val="Normal"/>
    <w:next w:val="Normal"/>
    <w:rsid w:val="00F52741"/>
    <w:pPr>
      <w:keepNext/>
      <w:spacing w:before="160"/>
    </w:pPr>
    <w:rPr>
      <w:i/>
    </w:rPr>
  </w:style>
  <w:style w:type="paragraph" w:customStyle="1" w:styleId="PartNo">
    <w:name w:val="Part_No"/>
    <w:basedOn w:val="AnnexNo"/>
    <w:next w:val="Partref"/>
    <w:rsid w:val="00B37866"/>
  </w:style>
  <w:style w:type="paragraph" w:customStyle="1" w:styleId="Partref">
    <w:name w:val="Part_ref"/>
    <w:basedOn w:val="Annexref"/>
    <w:next w:val="Parttitle"/>
    <w:rsid w:val="00B37866"/>
  </w:style>
  <w:style w:type="paragraph" w:customStyle="1" w:styleId="Parttitle">
    <w:name w:val="Part_title"/>
    <w:basedOn w:val="Annextitle"/>
    <w:next w:val="Normalaftertitle"/>
    <w:rsid w:val="00B37866"/>
  </w:style>
  <w:style w:type="paragraph" w:customStyle="1" w:styleId="RecNo">
    <w:name w:val="Rec_No"/>
    <w:basedOn w:val="Normal"/>
    <w:next w:val="Rectitle"/>
    <w:rsid w:val="00B37866"/>
    <w:pPr>
      <w:keepNext/>
      <w:keepLines/>
      <w:spacing w:before="480"/>
      <w:jc w:val="center"/>
    </w:pPr>
    <w:rPr>
      <w:caps/>
      <w:sz w:val="28"/>
    </w:rPr>
  </w:style>
  <w:style w:type="paragraph" w:customStyle="1" w:styleId="Rectitle">
    <w:name w:val="Rec_title"/>
    <w:basedOn w:val="RecNo"/>
    <w:next w:val="Recref"/>
    <w:rsid w:val="00F52741"/>
    <w:pPr>
      <w:spacing w:before="240"/>
    </w:pPr>
    <w:rPr>
      <w:b/>
      <w:caps w:val="0"/>
    </w:rPr>
  </w:style>
  <w:style w:type="paragraph" w:customStyle="1" w:styleId="Recref">
    <w:name w:val="Rec_ref"/>
    <w:basedOn w:val="Rectitle"/>
    <w:next w:val="Recdate"/>
    <w:rsid w:val="00F52741"/>
    <w:pPr>
      <w:tabs>
        <w:tab w:val="clear" w:pos="794"/>
        <w:tab w:val="clear" w:pos="1191"/>
        <w:tab w:val="clear" w:pos="1588"/>
        <w:tab w:val="clear" w:pos="1985"/>
      </w:tabs>
      <w:spacing w:before="120"/>
    </w:pPr>
    <w:rPr>
      <w:b w:val="0"/>
      <w:i/>
      <w:sz w:val="24"/>
    </w:rPr>
  </w:style>
  <w:style w:type="paragraph" w:customStyle="1" w:styleId="Recdate">
    <w:name w:val="Rec_date"/>
    <w:basedOn w:val="Recref"/>
    <w:next w:val="Normalaftertitle"/>
    <w:rsid w:val="00B37866"/>
    <w:pPr>
      <w:jc w:val="right"/>
    </w:pPr>
    <w:rPr>
      <w:sz w:val="22"/>
    </w:rPr>
  </w:style>
  <w:style w:type="paragraph" w:customStyle="1" w:styleId="Questiondate">
    <w:name w:val="Question_date"/>
    <w:basedOn w:val="Recdate"/>
    <w:next w:val="Normalaftertitle"/>
    <w:rsid w:val="00F52741"/>
  </w:style>
  <w:style w:type="paragraph" w:customStyle="1" w:styleId="QuestionNo">
    <w:name w:val="Question_No"/>
    <w:basedOn w:val="RecNo"/>
    <w:next w:val="Questiontitle"/>
    <w:rsid w:val="00B37866"/>
  </w:style>
  <w:style w:type="paragraph" w:customStyle="1" w:styleId="Questiontitle">
    <w:name w:val="Question_title"/>
    <w:basedOn w:val="Rectitle"/>
    <w:next w:val="Questionref"/>
    <w:rsid w:val="00F52741"/>
  </w:style>
  <w:style w:type="paragraph" w:customStyle="1" w:styleId="Questionref">
    <w:name w:val="Question_ref"/>
    <w:basedOn w:val="Recref"/>
    <w:next w:val="Questiondate"/>
    <w:rsid w:val="00F52741"/>
  </w:style>
  <w:style w:type="character" w:customStyle="1" w:styleId="Recdef">
    <w:name w:val="Rec_def"/>
    <w:basedOn w:val="DefaultParagraphFont"/>
    <w:rsid w:val="00F52741"/>
    <w:rPr>
      <w:rFonts w:asciiTheme="minorHAnsi" w:hAnsiTheme="minorHAnsi"/>
      <w:b/>
    </w:rPr>
  </w:style>
  <w:style w:type="paragraph" w:customStyle="1" w:styleId="Reftext">
    <w:name w:val="Ref_text"/>
    <w:basedOn w:val="Normal"/>
    <w:rsid w:val="00B37866"/>
    <w:pPr>
      <w:ind w:left="794" w:hanging="794"/>
    </w:pPr>
  </w:style>
  <w:style w:type="paragraph" w:customStyle="1" w:styleId="Reftitle">
    <w:name w:val="Ref_title"/>
    <w:basedOn w:val="Normal"/>
    <w:next w:val="Reftext"/>
    <w:rsid w:val="00B37866"/>
    <w:pPr>
      <w:spacing w:before="480"/>
      <w:jc w:val="center"/>
    </w:pPr>
    <w:rPr>
      <w:caps/>
    </w:rPr>
  </w:style>
  <w:style w:type="paragraph" w:customStyle="1" w:styleId="Repdate">
    <w:name w:val="Rep_date"/>
    <w:basedOn w:val="Recdate"/>
    <w:next w:val="Normalaftertitle"/>
    <w:rsid w:val="00B37866"/>
  </w:style>
  <w:style w:type="paragraph" w:customStyle="1" w:styleId="RepNo">
    <w:name w:val="Rep_No"/>
    <w:basedOn w:val="RecNo"/>
    <w:next w:val="Reptitle"/>
    <w:rsid w:val="00B37866"/>
  </w:style>
  <w:style w:type="paragraph" w:customStyle="1" w:styleId="Reptitle">
    <w:name w:val="Rep_title"/>
    <w:basedOn w:val="Rectitle"/>
    <w:next w:val="Repref"/>
    <w:rsid w:val="00B37866"/>
  </w:style>
  <w:style w:type="paragraph" w:customStyle="1" w:styleId="Repref">
    <w:name w:val="Rep_ref"/>
    <w:basedOn w:val="Recref"/>
    <w:next w:val="Repdate"/>
    <w:rsid w:val="00B37866"/>
  </w:style>
  <w:style w:type="paragraph" w:customStyle="1" w:styleId="Resdate">
    <w:name w:val="Res_date"/>
    <w:basedOn w:val="Recdate"/>
    <w:next w:val="Normalaftertitle"/>
    <w:rsid w:val="00B37866"/>
  </w:style>
  <w:style w:type="character" w:customStyle="1" w:styleId="Resdef">
    <w:name w:val="Res_def"/>
    <w:basedOn w:val="DefaultParagraphFont"/>
    <w:rsid w:val="00F52741"/>
    <w:rPr>
      <w:rFonts w:asciiTheme="minorHAnsi" w:hAnsiTheme="minorHAnsi"/>
      <w:b/>
    </w:rPr>
  </w:style>
  <w:style w:type="paragraph" w:customStyle="1" w:styleId="ResNo">
    <w:name w:val="Res_No"/>
    <w:basedOn w:val="RecNo"/>
    <w:next w:val="Restitle"/>
    <w:link w:val="ResNoChar"/>
    <w:rsid w:val="00B37866"/>
  </w:style>
  <w:style w:type="paragraph" w:customStyle="1" w:styleId="Restitle">
    <w:name w:val="Res_title"/>
    <w:basedOn w:val="Rectitle"/>
    <w:next w:val="Resref"/>
    <w:link w:val="RestitleChar"/>
    <w:rsid w:val="00B37866"/>
  </w:style>
  <w:style w:type="paragraph" w:customStyle="1" w:styleId="Resref">
    <w:name w:val="Res_ref"/>
    <w:basedOn w:val="Recref"/>
    <w:next w:val="Resdate"/>
    <w:rsid w:val="00B37866"/>
  </w:style>
  <w:style w:type="paragraph" w:customStyle="1" w:styleId="SectionNo">
    <w:name w:val="Section_No"/>
    <w:basedOn w:val="AnnexNo"/>
    <w:next w:val="Sectiontitle"/>
    <w:rsid w:val="00B37866"/>
  </w:style>
  <w:style w:type="paragraph" w:customStyle="1" w:styleId="Sectiontitle">
    <w:name w:val="Section_title"/>
    <w:basedOn w:val="Annextitle"/>
    <w:next w:val="Normalaftertitle"/>
    <w:rsid w:val="00B37866"/>
  </w:style>
  <w:style w:type="paragraph" w:customStyle="1" w:styleId="SpecialFooter">
    <w:name w:val="Special Footer"/>
    <w:basedOn w:val="Footer"/>
    <w:rsid w:val="00B37866"/>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F52741"/>
    <w:rPr>
      <w:rFonts w:asciiTheme="minorHAnsi" w:hAnsiTheme="minorHAnsi"/>
      <w:b/>
      <w:color w:val="auto"/>
    </w:rPr>
  </w:style>
  <w:style w:type="paragraph" w:customStyle="1" w:styleId="Tablehead">
    <w:name w:val="Table_head"/>
    <w:basedOn w:val="Tabletext"/>
    <w:next w:val="Tabletext"/>
    <w:rsid w:val="00B37866"/>
    <w:pPr>
      <w:keepNext/>
      <w:spacing w:before="80" w:after="80"/>
      <w:jc w:val="center"/>
    </w:pPr>
    <w:rPr>
      <w:b/>
    </w:rPr>
  </w:style>
  <w:style w:type="paragraph" w:customStyle="1" w:styleId="Tablelegend">
    <w:name w:val="Table_legend"/>
    <w:basedOn w:val="Tabletext"/>
    <w:rsid w:val="00B37866"/>
    <w:pPr>
      <w:spacing w:before="120"/>
    </w:pPr>
  </w:style>
  <w:style w:type="paragraph" w:customStyle="1" w:styleId="TableNo">
    <w:name w:val="Table_No"/>
    <w:basedOn w:val="Normal"/>
    <w:next w:val="Tabletitle"/>
    <w:rsid w:val="00B37866"/>
    <w:pPr>
      <w:keepNext/>
      <w:spacing w:before="560" w:after="120"/>
      <w:jc w:val="center"/>
    </w:pPr>
    <w:rPr>
      <w:caps/>
    </w:rPr>
  </w:style>
  <w:style w:type="paragraph" w:customStyle="1" w:styleId="Tableref">
    <w:name w:val="Table_ref"/>
    <w:basedOn w:val="Normal"/>
    <w:next w:val="Tabletitle"/>
    <w:rsid w:val="00B37866"/>
    <w:pPr>
      <w:keepNext/>
      <w:spacing w:before="0" w:after="120"/>
      <w:jc w:val="center"/>
    </w:pPr>
  </w:style>
  <w:style w:type="character" w:styleId="PageNumber">
    <w:name w:val="page number"/>
    <w:basedOn w:val="DefaultParagraphFont"/>
    <w:rsid w:val="00F52741"/>
    <w:rPr>
      <w:rFonts w:asciiTheme="minorHAnsi" w:hAnsiTheme="minorHAnsi"/>
    </w:rPr>
  </w:style>
  <w:style w:type="character" w:customStyle="1" w:styleId="HeaderChar">
    <w:name w:val="Header Char"/>
    <w:basedOn w:val="DefaultParagraphFont"/>
    <w:link w:val="Header"/>
    <w:uiPriority w:val="99"/>
    <w:rsid w:val="00005791"/>
    <w:rPr>
      <w:rFonts w:ascii="Times New Roman" w:hAnsi="Times New Roman"/>
      <w:sz w:val="18"/>
      <w:lang w:val="fr-FR" w:eastAsia="en-US"/>
    </w:rPr>
  </w:style>
  <w:style w:type="character" w:customStyle="1" w:styleId="FooterChar">
    <w:name w:val="Footer Char"/>
    <w:basedOn w:val="DefaultParagraphFont"/>
    <w:link w:val="Footer"/>
    <w:rsid w:val="0056423B"/>
    <w:rPr>
      <w:rFonts w:ascii="Times New Roman" w:hAnsi="Times New Roman"/>
      <w:caps/>
      <w:noProof/>
      <w:sz w:val="16"/>
      <w:lang w:val="fr-FR" w:eastAsia="en-US"/>
    </w:rPr>
  </w:style>
  <w:style w:type="table" w:styleId="TableGrid">
    <w:name w:val="Table Grid"/>
    <w:basedOn w:val="TableNormal"/>
    <w:rsid w:val="0014700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mmittee">
    <w:name w:val="Committee"/>
    <w:basedOn w:val="Normal"/>
    <w:qFormat/>
    <w:rsid w:val="001A163D"/>
    <w:rPr>
      <w:rFonts w:cs="Times New Roman Bold"/>
      <w:b/>
      <w:caps/>
    </w:rPr>
  </w:style>
  <w:style w:type="paragraph" w:customStyle="1" w:styleId="CEOcontributionStart">
    <w:name w:val="CEO_contributionStart"/>
    <w:next w:val="Normal"/>
    <w:rsid w:val="00942A8A"/>
    <w:pPr>
      <w:spacing w:before="360" w:after="120"/>
    </w:pPr>
    <w:rPr>
      <w:rFonts w:ascii="Calibri" w:eastAsia="SimHei" w:hAnsi="Calibri" w:cs="Simplified Arabic"/>
      <w:sz w:val="24"/>
      <w:szCs w:val="28"/>
      <w:lang w:val="en-GB" w:eastAsia="en-US"/>
    </w:rPr>
  </w:style>
  <w:style w:type="character" w:styleId="Hyperlink">
    <w:name w:val="Hyperlink"/>
    <w:basedOn w:val="DefaultParagraphFont"/>
    <w:rsid w:val="00210259"/>
    <w:rPr>
      <w:color w:val="0000FF" w:themeColor="hyperlink"/>
      <w:u w:val="single"/>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link w:val="FootnoteText"/>
    <w:locked/>
    <w:rsid w:val="00E35089"/>
    <w:rPr>
      <w:rFonts w:asciiTheme="minorHAnsi" w:hAnsiTheme="minorHAnsi"/>
      <w:sz w:val="24"/>
      <w:lang w:val="en-GB" w:eastAsia="en-US"/>
    </w:rPr>
  </w:style>
  <w:style w:type="character" w:customStyle="1" w:styleId="CallChar">
    <w:name w:val="Call Char"/>
    <w:link w:val="Call"/>
    <w:uiPriority w:val="99"/>
    <w:locked/>
    <w:rsid w:val="00E35089"/>
    <w:rPr>
      <w:rFonts w:asciiTheme="minorHAnsi" w:hAnsiTheme="minorHAnsi"/>
      <w:i/>
      <w:sz w:val="24"/>
      <w:lang w:val="en-GB" w:eastAsia="en-US"/>
    </w:rPr>
  </w:style>
  <w:style w:type="character" w:customStyle="1" w:styleId="ResNoChar">
    <w:name w:val="Res_No Char"/>
    <w:link w:val="ResNo"/>
    <w:locked/>
    <w:rsid w:val="00E35089"/>
    <w:rPr>
      <w:rFonts w:asciiTheme="minorHAnsi" w:hAnsiTheme="minorHAnsi"/>
      <w:caps/>
      <w:sz w:val="28"/>
      <w:lang w:val="en-GB" w:eastAsia="en-US"/>
    </w:rPr>
  </w:style>
  <w:style w:type="character" w:customStyle="1" w:styleId="RestitleChar">
    <w:name w:val="Res_title Char"/>
    <w:link w:val="Restitle"/>
    <w:locked/>
    <w:rsid w:val="00E35089"/>
    <w:rPr>
      <w:rFonts w:asciiTheme="minorHAnsi" w:hAnsiTheme="minorHAnsi"/>
      <w:b/>
      <w:sz w:val="28"/>
      <w:lang w:val="en-GB" w:eastAsia="en-US"/>
    </w:rPr>
  </w:style>
  <w:style w:type="character" w:customStyle="1" w:styleId="NormalaftertitleChar">
    <w:name w:val="Normal after title Char"/>
    <w:link w:val="Normalaftertitle"/>
    <w:locked/>
    <w:rsid w:val="00E35089"/>
    <w:rPr>
      <w:rFonts w:asciiTheme="minorHAnsi" w:hAnsiTheme="minorHAnsi"/>
      <w:sz w:val="24"/>
      <w:lang w:val="en-GB" w:eastAsia="en-US"/>
    </w:rPr>
  </w:style>
  <w:style w:type="character" w:customStyle="1" w:styleId="enumlev1Char">
    <w:name w:val="enumlev1 Char"/>
    <w:link w:val="enumlev1"/>
    <w:uiPriority w:val="99"/>
    <w:locked/>
    <w:rsid w:val="00E35089"/>
    <w:rPr>
      <w:rFonts w:asciiTheme="minorHAnsi" w:hAnsiTheme="minorHAnsi"/>
      <w:sz w:val="24"/>
      <w:lang w:val="en-GB" w:eastAsia="en-US"/>
    </w:rPr>
  </w:style>
  <w:style w:type="character" w:customStyle="1" w:styleId="ColorfulList-Accent1Char">
    <w:name w:val="Colorful List - Accent 1 Char"/>
    <w:aliases w:val="List Paragraph1 Char,Recommendation Char,List Paragraph11 Char"/>
    <w:link w:val="ColorfulList-Accent1"/>
    <w:uiPriority w:val="34"/>
    <w:locked/>
    <w:rsid w:val="00CA6190"/>
    <w:rPr>
      <w:sz w:val="24"/>
      <w:szCs w:val="24"/>
      <w:lang w:val="en-US" w:eastAsia="ja-JP"/>
    </w:rPr>
  </w:style>
  <w:style w:type="table" w:styleId="ColorfulList-Accent1">
    <w:name w:val="Colorful List Accent 1"/>
    <w:basedOn w:val="TableNormal"/>
    <w:link w:val="ColorfulList-Accent1Char"/>
    <w:uiPriority w:val="34"/>
    <w:rsid w:val="00CA6190"/>
    <w:rPr>
      <w:sz w:val="24"/>
      <w:szCs w:val="24"/>
      <w:lang w:eastAsia="ja-JP"/>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69D0A8-D7D0-44C9-A5DA-543DF5077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905</Words>
  <Characters>5309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Manager>General Secretariat - Pool</Manager>
  <Company>International Telecommunication Union (ITU)</Company>
  <LinksUpToDate>false</LinksUpToDate>
  <CharactersWithSpaces>6202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Puyana-Linares, Laura</dc:creator>
  <dc:description>PE_WTDC14.dotm  For: _x000d_Document date: _x000d_Saved by ITU51009317 at 13:55:42 on 17.12.13</dc:description>
  <cp:lastModifiedBy>BDT</cp:lastModifiedBy>
  <cp:revision>8</cp:revision>
  <cp:lastPrinted>2006-02-14T18:55:00Z</cp:lastPrinted>
  <dcterms:created xsi:type="dcterms:W3CDTF">2014-03-12T10:08:00Z</dcterms:created>
  <dcterms:modified xsi:type="dcterms:W3CDTF">2014-03-12T11:42:00Z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Document WTDC14/5-E</vt:lpwstr>
  </property>
  <property fmtid="{D5CDD505-2E9C-101B-9397-08002B2CF9AE}" pid="3" name="Docdate">
    <vt:lpwstr>22 January 2014</vt:lpwstr>
  </property>
  <property fmtid="{D5CDD505-2E9C-101B-9397-08002B2CF9AE}" pid="4" name="Docorlang">
    <vt:lpwstr>Original: English</vt:lpwstr>
  </property>
  <property fmtid="{D5CDD505-2E9C-101B-9397-08002B2CF9AE}" pid="5" name="Docdest">
    <vt:lpwstr>ASDF</vt:lpwstr>
  </property>
  <property fmtid="{D5CDD505-2E9C-101B-9397-08002B2CF9AE}" pid="6" name="Docauthor">
    <vt:lpwstr>qwer</vt:lpwstr>
  </property>
  <property fmtid="{D5CDD505-2E9C-101B-9397-08002B2CF9AE}" pid="7" name="Docbluepink">
    <vt:lpwstr/>
  </property>
</Properties>
</file>