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92"/>
        <w:tblW w:w="9746" w:type="dxa"/>
        <w:tblLayout w:type="fixed"/>
        <w:tblCellMar>
          <w:left w:w="107" w:type="dxa"/>
          <w:right w:w="107" w:type="dxa"/>
        </w:tblCellMar>
        <w:tblLook w:val="0000" w:firstRow="0" w:lastRow="0" w:firstColumn="0" w:lastColumn="0" w:noHBand="0" w:noVBand="0"/>
      </w:tblPr>
      <w:tblGrid>
        <w:gridCol w:w="1950"/>
        <w:gridCol w:w="4678"/>
        <w:gridCol w:w="3118"/>
      </w:tblGrid>
      <w:tr w:rsidR="007D63D6" w:rsidTr="00721657">
        <w:trPr>
          <w:cantSplit/>
        </w:trPr>
        <w:tc>
          <w:tcPr>
            <w:tcW w:w="6628" w:type="dxa"/>
            <w:gridSpan w:val="2"/>
          </w:tcPr>
          <w:p w:rsidR="007D63D6" w:rsidRPr="00EF01CF" w:rsidRDefault="007D63D6" w:rsidP="005E3CA0">
            <w:pPr>
              <w:rPr>
                <w:rFonts w:ascii="Verdana" w:hAnsi="Verdana"/>
              </w:rPr>
            </w:pPr>
            <w:r w:rsidRPr="00E00CAA">
              <w:rPr>
                <w:b/>
                <w:bCs/>
                <w:sz w:val="32"/>
                <w:szCs w:val="24"/>
              </w:rPr>
              <w:t>World Telecommunication Development Conference (WTDC-14)</w:t>
            </w:r>
            <w:r w:rsidRPr="00721657">
              <w:br/>
            </w:r>
            <w:r>
              <w:rPr>
                <w:b/>
                <w:bCs/>
              </w:rPr>
              <w:t>Dubai</w:t>
            </w:r>
            <w:r w:rsidRPr="00E00CAA">
              <w:rPr>
                <w:b/>
                <w:bCs/>
              </w:rPr>
              <w:t>, 3</w:t>
            </w:r>
            <w:r>
              <w:rPr>
                <w:b/>
                <w:bCs/>
              </w:rPr>
              <w:t>0</w:t>
            </w:r>
            <w:r w:rsidRPr="00E00CAA">
              <w:rPr>
                <w:b/>
                <w:bCs/>
              </w:rPr>
              <w:t xml:space="preserve"> March – 1</w:t>
            </w:r>
            <w:r>
              <w:rPr>
                <w:b/>
                <w:bCs/>
              </w:rPr>
              <w:t>0</w:t>
            </w:r>
            <w:r w:rsidRPr="00E00CAA">
              <w:rPr>
                <w:b/>
                <w:bCs/>
              </w:rPr>
              <w:t xml:space="preserve"> April 2014</w:t>
            </w:r>
          </w:p>
        </w:tc>
        <w:tc>
          <w:tcPr>
            <w:tcW w:w="3118" w:type="dxa"/>
          </w:tcPr>
          <w:p w:rsidR="007D63D6" w:rsidRDefault="007D63D6" w:rsidP="007D63D6">
            <w:pPr>
              <w:spacing w:before="0" w:after="80"/>
            </w:pPr>
            <w:r>
              <w:rPr>
                <w:noProof/>
                <w:lang w:val="en-US" w:eastAsia="zh-CN"/>
              </w:rPr>
              <w:drawing>
                <wp:inline distT="0" distB="0" distL="0" distR="0" wp14:anchorId="6764D9BA" wp14:editId="230197DA">
                  <wp:extent cx="1760220" cy="74676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7D63D6" w:rsidRPr="00997358" w:rsidTr="00721657">
        <w:trPr>
          <w:cantSplit/>
        </w:trPr>
        <w:tc>
          <w:tcPr>
            <w:tcW w:w="9746" w:type="dxa"/>
            <w:gridSpan w:val="3"/>
            <w:tcBorders>
              <w:bottom w:val="single" w:sz="12" w:space="0" w:color="auto"/>
            </w:tcBorders>
            <w:vAlign w:val="center"/>
          </w:tcPr>
          <w:p w:rsidR="007D63D6" w:rsidRPr="00997358" w:rsidRDefault="007D63D6" w:rsidP="007D63D6">
            <w:pPr>
              <w:spacing w:before="0"/>
              <w:rPr>
                <w:b/>
                <w:bCs/>
                <w:sz w:val="20"/>
              </w:rPr>
            </w:pPr>
          </w:p>
        </w:tc>
      </w:tr>
      <w:tr w:rsidR="007D63D6" w:rsidRPr="00997358" w:rsidTr="00721657">
        <w:trPr>
          <w:cantSplit/>
        </w:trPr>
        <w:tc>
          <w:tcPr>
            <w:tcW w:w="6628" w:type="dxa"/>
            <w:gridSpan w:val="2"/>
          </w:tcPr>
          <w:p w:rsidR="007D63D6" w:rsidRPr="00997358" w:rsidRDefault="007D63D6" w:rsidP="007D63D6">
            <w:pPr>
              <w:spacing w:before="0"/>
              <w:rPr>
                <w:rFonts w:cs="Arial"/>
                <w:b/>
                <w:bCs/>
                <w:sz w:val="20"/>
              </w:rPr>
            </w:pPr>
          </w:p>
        </w:tc>
        <w:tc>
          <w:tcPr>
            <w:tcW w:w="3118" w:type="dxa"/>
          </w:tcPr>
          <w:p w:rsidR="007D63D6" w:rsidRPr="00997358" w:rsidRDefault="007D63D6" w:rsidP="007D63D6">
            <w:pPr>
              <w:spacing w:before="0"/>
              <w:rPr>
                <w:b/>
                <w:bCs/>
                <w:sz w:val="20"/>
              </w:rPr>
            </w:pPr>
          </w:p>
        </w:tc>
      </w:tr>
      <w:tr w:rsidR="007D63D6" w:rsidTr="00721657">
        <w:trPr>
          <w:cantSplit/>
        </w:trPr>
        <w:tc>
          <w:tcPr>
            <w:tcW w:w="6628" w:type="dxa"/>
            <w:gridSpan w:val="2"/>
            <w:vMerge w:val="restart"/>
          </w:tcPr>
          <w:p w:rsidR="007D63D6" w:rsidRPr="007D63D6" w:rsidRDefault="007D63D6" w:rsidP="001A163D">
            <w:pPr>
              <w:pStyle w:val="Committee"/>
              <w:rPr>
                <w:b w:val="0"/>
              </w:rPr>
            </w:pPr>
          </w:p>
        </w:tc>
        <w:tc>
          <w:tcPr>
            <w:tcW w:w="3118" w:type="dxa"/>
          </w:tcPr>
          <w:p w:rsidR="007D63D6" w:rsidRPr="007D63D6" w:rsidRDefault="000B376F" w:rsidP="000B376F">
            <w:pPr>
              <w:spacing w:before="0"/>
              <w:rPr>
                <w:bCs/>
              </w:rPr>
            </w:pPr>
            <w:r>
              <w:rPr>
                <w:b/>
                <w:bCs/>
              </w:rPr>
              <w:t>Addendum 2</w:t>
            </w:r>
            <w:r w:rsidR="007704AC">
              <w:rPr>
                <w:b/>
                <w:bCs/>
              </w:rPr>
              <w:t xml:space="preserve"> to</w:t>
            </w:r>
            <w:r>
              <w:rPr>
                <w:b/>
                <w:bCs/>
              </w:rPr>
              <w:br/>
            </w:r>
            <w:r w:rsidR="007D63D6">
              <w:rPr>
                <w:b/>
                <w:bCs/>
              </w:rPr>
              <w:t xml:space="preserve">Document </w:t>
            </w:r>
            <w:bookmarkStart w:id="0" w:name="DocRef1"/>
            <w:bookmarkEnd w:id="0"/>
            <w:r w:rsidR="00051635">
              <w:rPr>
                <w:b/>
                <w:bCs/>
              </w:rPr>
              <w:t>WTDC14</w:t>
            </w:r>
            <w:r w:rsidR="007D63D6">
              <w:rPr>
                <w:b/>
                <w:bCs/>
              </w:rPr>
              <w:t>/</w:t>
            </w:r>
            <w:bookmarkStart w:id="1" w:name="DocNo1"/>
            <w:bookmarkEnd w:id="1"/>
            <w:r>
              <w:rPr>
                <w:b/>
                <w:bCs/>
              </w:rPr>
              <w:t>37</w:t>
            </w:r>
            <w:r w:rsidR="00051635">
              <w:rPr>
                <w:b/>
                <w:bCs/>
              </w:rPr>
              <w:t>-E</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6D253B" w:rsidRDefault="00051635" w:rsidP="00E66898">
            <w:pPr>
              <w:spacing w:before="0"/>
              <w:rPr>
                <w:b/>
                <w:bCs/>
              </w:rPr>
            </w:pPr>
            <w:bookmarkStart w:id="2" w:name="CreationDate"/>
            <w:bookmarkEnd w:id="2"/>
            <w:r>
              <w:rPr>
                <w:b/>
                <w:bCs/>
              </w:rPr>
              <w:t>2</w:t>
            </w:r>
            <w:r w:rsidR="00E66898">
              <w:rPr>
                <w:b/>
                <w:bCs/>
              </w:rPr>
              <w:t>5</w:t>
            </w:r>
            <w:r>
              <w:rPr>
                <w:b/>
                <w:bCs/>
              </w:rPr>
              <w:t xml:space="preserve"> February 2014</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7D63D6" w:rsidRDefault="007D63D6" w:rsidP="007D63D6">
            <w:pPr>
              <w:spacing w:before="0"/>
            </w:pPr>
            <w:r>
              <w:rPr>
                <w:b/>
              </w:rPr>
              <w:t xml:space="preserve">Original: </w:t>
            </w:r>
            <w:bookmarkStart w:id="3" w:name="Original"/>
            <w:bookmarkEnd w:id="3"/>
            <w:r w:rsidR="00051635">
              <w:rPr>
                <w:b/>
              </w:rPr>
              <w:t>English</w:t>
            </w:r>
          </w:p>
        </w:tc>
      </w:tr>
      <w:tr w:rsidR="007D63D6" w:rsidRPr="00312AE6" w:rsidTr="00721657">
        <w:trPr>
          <w:cantSplit/>
        </w:trPr>
        <w:tc>
          <w:tcPr>
            <w:tcW w:w="1950" w:type="dxa"/>
          </w:tcPr>
          <w:p w:rsidR="007D63D6" w:rsidRPr="00312AE6" w:rsidRDefault="007D63D6" w:rsidP="00721657">
            <w:pPr>
              <w:pStyle w:val="Source"/>
              <w:rPr>
                <w:rFonts w:ascii="Verdana" w:hAnsi="Verdana"/>
                <w:bCs/>
                <w:sz w:val="20"/>
              </w:rPr>
            </w:pPr>
          </w:p>
        </w:tc>
        <w:tc>
          <w:tcPr>
            <w:tcW w:w="7796" w:type="dxa"/>
            <w:gridSpan w:val="2"/>
          </w:tcPr>
          <w:p w:rsidR="007D63D6" w:rsidRPr="00312AE6" w:rsidRDefault="007D63D6" w:rsidP="00721657">
            <w:pPr>
              <w:pStyle w:val="Source"/>
              <w:rPr>
                <w:sz w:val="20"/>
              </w:rPr>
            </w:pPr>
          </w:p>
        </w:tc>
      </w:tr>
      <w:tr w:rsidR="007D63D6" w:rsidTr="00721657">
        <w:trPr>
          <w:cantSplit/>
        </w:trPr>
        <w:tc>
          <w:tcPr>
            <w:tcW w:w="1950" w:type="dxa"/>
          </w:tcPr>
          <w:p w:rsidR="007D63D6" w:rsidRPr="009F3EB2" w:rsidRDefault="007D63D6" w:rsidP="001A163D">
            <w:pPr>
              <w:pStyle w:val="Source"/>
            </w:pPr>
            <w:r w:rsidRPr="009F3EB2">
              <w:t>SOURCE:</w:t>
            </w:r>
          </w:p>
        </w:tc>
        <w:tc>
          <w:tcPr>
            <w:tcW w:w="7796" w:type="dxa"/>
            <w:gridSpan w:val="2"/>
          </w:tcPr>
          <w:p w:rsidR="007D63D6" w:rsidRPr="007D63D6" w:rsidRDefault="00051635" w:rsidP="00921273">
            <w:pPr>
              <w:pStyle w:val="Source"/>
              <w:rPr>
                <w:b w:val="0"/>
                <w:bCs/>
              </w:rPr>
            </w:pPr>
            <w:bookmarkStart w:id="4" w:name="Source"/>
            <w:bookmarkEnd w:id="4"/>
            <w:r>
              <w:rPr>
                <w:b w:val="0"/>
                <w:bCs/>
              </w:rPr>
              <w:t xml:space="preserve">Asia-Pacific </w:t>
            </w:r>
            <w:proofErr w:type="spellStart"/>
            <w:r>
              <w:rPr>
                <w:b w:val="0"/>
                <w:bCs/>
              </w:rPr>
              <w:t>Telecommunity</w:t>
            </w:r>
            <w:proofErr w:type="spellEnd"/>
            <w:r w:rsidR="007322D3">
              <w:rPr>
                <w:b w:val="0"/>
                <w:bCs/>
              </w:rPr>
              <w:t xml:space="preserve"> (See Annex </w:t>
            </w:r>
            <w:r w:rsidR="00921273">
              <w:rPr>
                <w:b w:val="0"/>
                <w:bCs/>
              </w:rPr>
              <w:t>2</w:t>
            </w:r>
            <w:bookmarkStart w:id="5" w:name="_GoBack"/>
            <w:bookmarkEnd w:id="5"/>
            <w:r w:rsidR="007322D3">
              <w:rPr>
                <w:b w:val="0"/>
                <w:bCs/>
              </w:rPr>
              <w:t xml:space="preserve"> to Document WTDC14/37)</w:t>
            </w:r>
          </w:p>
        </w:tc>
      </w:tr>
      <w:tr w:rsidR="007D63D6" w:rsidTr="00721657">
        <w:trPr>
          <w:cantSplit/>
        </w:trPr>
        <w:tc>
          <w:tcPr>
            <w:tcW w:w="1950" w:type="dxa"/>
          </w:tcPr>
          <w:p w:rsidR="007D63D6" w:rsidRPr="001A163D" w:rsidRDefault="007D63D6" w:rsidP="001A163D">
            <w:pPr>
              <w:pStyle w:val="Source"/>
            </w:pPr>
            <w:r w:rsidRPr="001A163D">
              <w:t>TITLE:</w:t>
            </w:r>
          </w:p>
        </w:tc>
        <w:tc>
          <w:tcPr>
            <w:tcW w:w="7796" w:type="dxa"/>
            <w:gridSpan w:val="2"/>
          </w:tcPr>
          <w:p w:rsidR="007D63D6" w:rsidRPr="007D63D6" w:rsidRDefault="00E35089" w:rsidP="00CA6190">
            <w:pPr>
              <w:pStyle w:val="Title1"/>
              <w:spacing w:before="120"/>
              <w:rPr>
                <w:b w:val="0"/>
                <w:bCs/>
                <w:szCs w:val="18"/>
              </w:rPr>
            </w:pPr>
            <w:bookmarkStart w:id="6" w:name="Title"/>
            <w:bookmarkEnd w:id="6"/>
            <w:r>
              <w:rPr>
                <w:b w:val="0"/>
                <w:bCs/>
                <w:szCs w:val="18"/>
              </w:rPr>
              <w:t xml:space="preserve">Proposed </w:t>
            </w:r>
            <w:r w:rsidR="00CA6190">
              <w:rPr>
                <w:b w:val="0"/>
                <w:bCs/>
                <w:szCs w:val="18"/>
              </w:rPr>
              <w:t>New Resolution on Telephone Number Misappropriation</w:t>
            </w:r>
          </w:p>
        </w:tc>
      </w:tr>
    </w:tbl>
    <w:p w:rsidR="00005EED" w:rsidRDefault="00005EED" w:rsidP="00005EED">
      <w:pPr>
        <w:pStyle w:val="Heading1"/>
        <w:keepNext w:val="0"/>
        <w:keepLines w:val="0"/>
        <w:spacing w:before="120"/>
        <w:rPr>
          <w:b w:val="0"/>
          <w:bCs/>
          <w:sz w:val="24"/>
          <w:szCs w:val="24"/>
        </w:rPr>
      </w:pPr>
      <w:bookmarkStart w:id="7" w:name="ProposalNo1"/>
      <w:bookmarkEnd w:id="7"/>
    </w:p>
    <w:p w:rsidR="00210259" w:rsidRDefault="00210259" w:rsidP="00005EED">
      <w:pPr>
        <w:pStyle w:val="Heading1"/>
        <w:spacing w:before="120"/>
      </w:pPr>
      <w:r>
        <w:t>1</w:t>
      </w:r>
      <w:r>
        <w:tab/>
        <w:t>Introduction</w:t>
      </w:r>
    </w:p>
    <w:p w:rsidR="00CA6190" w:rsidRDefault="00CA6190" w:rsidP="00CA6190">
      <w:pPr>
        <w:jc w:val="both"/>
      </w:pPr>
      <w:r>
        <w:t xml:space="preserve">The purpose of the draft Resolution is to assist Member States and other stakeholders in the actions that they are able to take with regard to combatting International Telephone Number Misappropriation.  </w:t>
      </w:r>
    </w:p>
    <w:p w:rsidR="00CA6190" w:rsidRDefault="00CA6190" w:rsidP="00CA6190">
      <w:pPr>
        <w:jc w:val="both"/>
      </w:pPr>
      <w:r>
        <w:t xml:space="preserve">International Telephone Number Misappropriation is the use of any E.164 international numbering resource for a purpose other than what was intended by the Authority with responsibility for a country’s E.164 numbering resources. It often occurs without the knowledge or consent of the country whose number ranges </w:t>
      </w:r>
      <w:proofErr w:type="gramStart"/>
      <w:r>
        <w:t>are</w:t>
      </w:r>
      <w:proofErr w:type="gramEnd"/>
      <w:r>
        <w:t xml:space="preserve"> being abused.</w:t>
      </w:r>
    </w:p>
    <w:p w:rsidR="00CA6190" w:rsidRDefault="00CA6190" w:rsidP="00CA6190">
      <w:pPr>
        <w:jc w:val="both"/>
      </w:pPr>
      <w:r>
        <w:t xml:space="preserve">Misappropriation typically exploits high termination rates associated with the telephone number </w:t>
      </w:r>
      <w:r w:rsidRPr="006B528F">
        <w:t>range or country code</w:t>
      </w:r>
      <w:r>
        <w:t xml:space="preserve"> in the terminating country. It is often characterised by artificially inflating traffic from the callers’ country of origin which is delivered to a destination country that has high termination rates. </w:t>
      </w:r>
    </w:p>
    <w:p w:rsidR="00CA6190" w:rsidRDefault="00CA6190" w:rsidP="00CA6190">
      <w:pPr>
        <w:jc w:val="both"/>
      </w:pPr>
      <w:r>
        <w:t xml:space="preserve">In one example, </w:t>
      </w:r>
      <w:r w:rsidRPr="006B528F">
        <w:t>an overseas caller will ring a legitimate phone number in the destination country</w:t>
      </w:r>
      <w:r>
        <w:t>, and s</w:t>
      </w:r>
      <w:r w:rsidRPr="006B528F">
        <w:t>omewhere in the routing of this call, numbers with the destination country code are filtered out and sent to an audio text provider</w:t>
      </w:r>
      <w:r>
        <w:t xml:space="preserve">. This is often done by entities claiming to be </w:t>
      </w:r>
      <w:r w:rsidRPr="006B528F">
        <w:t>Premium Rate Service Provider</w:t>
      </w:r>
      <w:r>
        <w:t>s</w:t>
      </w:r>
      <w:r w:rsidRPr="006B528F">
        <w:t xml:space="preserve"> (PRSP)</w:t>
      </w:r>
      <w:r>
        <w:t>, but whose use of national numbers may not sanctioned, and who do not conform to the use of the international numbering resource as defined in ITU-T Recommendation.</w:t>
      </w:r>
      <w:r w:rsidRPr="006B528F">
        <w:t xml:space="preserve"> The (transit) carrier who filters the call collects the termination rate for the destination country, which receives no revenue at all.</w:t>
      </w:r>
      <w:r>
        <w:t xml:space="preserve"> The overseas caller is also faced with a high and unexpected bill.</w:t>
      </w:r>
    </w:p>
    <w:p w:rsidR="00CA6190" w:rsidRDefault="00CA6190" w:rsidP="00CA6190">
      <w:pPr>
        <w:jc w:val="both"/>
      </w:pPr>
      <w:r>
        <w:t>The response by various stakeholders to this situation has in the past ranged from blocking of country codes in call originating countries, to originating operators blocking specific numbers to high cost areas.  These actions are a reaction to the problem rather than offering a way forward that benefits all affected parties. They can also have negative consequences for those countries whose number ranges are blocked.  Action is required to better inform all stakeholders about the range of actions they can take to address the problem of Telephone Number Misappropriation has changed as the technology has evolved.  The purpose of this draft Resolution is to further develop and enhance the actions taken by the ITU Development Sector (ITU-D) to date to deliver the assistance required by stakeholders to ameliorate Telephone Number Misappropriation.</w:t>
      </w:r>
    </w:p>
    <w:p w:rsidR="00CA6190" w:rsidRDefault="00CA6190" w:rsidP="00CA6190">
      <w:pPr>
        <w:jc w:val="both"/>
      </w:pPr>
    </w:p>
    <w:p w:rsidR="00210259" w:rsidRDefault="00210259" w:rsidP="00005EED">
      <w:pPr>
        <w:pStyle w:val="Heading1"/>
        <w:spacing w:before="120"/>
      </w:pPr>
      <w:r>
        <w:lastRenderedPageBreak/>
        <w:t>2</w:t>
      </w:r>
      <w:r>
        <w:tab/>
        <w:t>Proposal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904"/>
      </w:tblGrid>
      <w:tr w:rsidR="00C6401A" w:rsidTr="004F562A">
        <w:tc>
          <w:tcPr>
            <w:tcW w:w="1951" w:type="dxa"/>
          </w:tcPr>
          <w:p w:rsidR="00C6401A" w:rsidRPr="00A102BD" w:rsidRDefault="00C6401A" w:rsidP="004F562A">
            <w:pPr>
              <w:jc w:val="both"/>
              <w:rPr>
                <w:rFonts w:eastAsia="Malgun Gothic"/>
                <w:b/>
                <w:lang w:eastAsia="ko-KR"/>
              </w:rPr>
            </w:pPr>
            <w:r>
              <w:rPr>
                <w:rFonts w:cs="Calibri"/>
                <w:b/>
                <w:bCs/>
                <w:szCs w:val="24"/>
              </w:rPr>
              <w:t>ACP/37/2</w:t>
            </w:r>
          </w:p>
        </w:tc>
        <w:tc>
          <w:tcPr>
            <w:tcW w:w="7904" w:type="dxa"/>
          </w:tcPr>
          <w:p w:rsidR="00C6401A" w:rsidRDefault="00C6401A" w:rsidP="004F562A">
            <w:pPr>
              <w:spacing w:after="120"/>
            </w:pPr>
            <w:r w:rsidRPr="009171AE">
              <w:rPr>
                <w:rFonts w:cs="Calibri"/>
                <w:szCs w:val="24"/>
              </w:rPr>
              <w:t xml:space="preserve">Objective(s): </w:t>
            </w:r>
            <w:r>
              <w:rPr>
                <w:rFonts w:cs="Calibri"/>
                <w:szCs w:val="24"/>
              </w:rPr>
              <w:t>4</w:t>
            </w:r>
          </w:p>
        </w:tc>
      </w:tr>
    </w:tbl>
    <w:p w:rsidR="00C6401A" w:rsidRDefault="00C6401A" w:rsidP="00C6401A">
      <w:pPr>
        <w:jc w:val="both"/>
        <w:rPr>
          <w:rFonts w:eastAsia="Malgun Gothic"/>
          <w:b/>
          <w:lang w:eastAsia="ko-KR"/>
        </w:rPr>
      </w:pPr>
      <w:r>
        <w:rPr>
          <w:rFonts w:eastAsia="Malgun Gothic"/>
          <w:b/>
          <w:lang w:eastAsia="ko-KR"/>
        </w:rPr>
        <w:t>AD</w:t>
      </w:r>
      <w:r w:rsidRPr="005B6DCD">
        <w:rPr>
          <w:rFonts w:eastAsia="Malgun Gothic"/>
          <w:b/>
          <w:lang w:eastAsia="ko-KR"/>
        </w:rPr>
        <w:t>D</w:t>
      </w:r>
    </w:p>
    <w:p w:rsidR="00921AD0" w:rsidRDefault="00921AD0" w:rsidP="00921AD0">
      <w:r>
        <w:t>This document proposes a new resolution by APT Members for WTDC-14 as attached below.</w:t>
      </w:r>
    </w:p>
    <w:p w:rsidR="00CA6190" w:rsidRDefault="00CA6190" w:rsidP="00CA6190"/>
    <w:p w:rsidR="00E35089" w:rsidRDefault="00E35089" w:rsidP="002E06CF">
      <w:pPr>
        <w:jc w:val="both"/>
        <w:rPr>
          <w:rFonts w:eastAsia="Malgun Gothic"/>
          <w:lang w:eastAsia="ko-KR"/>
        </w:rPr>
      </w:pPr>
      <w:r w:rsidRPr="005B6DCD">
        <w:rPr>
          <w:rFonts w:eastAsia="Malgun Gothic"/>
          <w:lang w:eastAsia="ko-KR"/>
        </w:rPr>
        <w:br w:type="page"/>
      </w:r>
    </w:p>
    <w:p w:rsidR="00CA6190" w:rsidRPr="000667CA" w:rsidRDefault="00CA6190" w:rsidP="00DF6406">
      <w:pPr>
        <w:pStyle w:val="RepNo"/>
      </w:pPr>
      <w:r w:rsidRPr="000667CA">
        <w:lastRenderedPageBreak/>
        <w:t xml:space="preserve">RESOLUTION </w:t>
      </w:r>
      <w:r w:rsidR="000D2351" w:rsidRPr="000B376F">
        <w:rPr>
          <w:highlight w:val="lightGray"/>
        </w:rPr>
        <w:t>ACP/1</w:t>
      </w:r>
      <w:r w:rsidRPr="000667CA">
        <w:t xml:space="preserve"> (Dubai</w:t>
      </w:r>
      <w:r>
        <w:t xml:space="preserve">, </w:t>
      </w:r>
      <w:r w:rsidRPr="000667CA">
        <w:t>2014)</w:t>
      </w:r>
    </w:p>
    <w:p w:rsidR="00CA6190" w:rsidRPr="000667CA" w:rsidRDefault="00CA6190" w:rsidP="00DF6406">
      <w:pPr>
        <w:pStyle w:val="Restitle"/>
      </w:pPr>
      <w:r w:rsidRPr="000667CA">
        <w:t xml:space="preserve">Support for development and deployment of E.164 telephone numbering management </w:t>
      </w:r>
    </w:p>
    <w:p w:rsidR="00CA6190" w:rsidRPr="003C2497" w:rsidRDefault="00CA6190" w:rsidP="00DF6406">
      <w:pPr>
        <w:pStyle w:val="Normalaftertitle"/>
      </w:pPr>
      <w:r w:rsidRPr="003C2497">
        <w:t>The World Telecommunication Development Conference (</w:t>
      </w:r>
      <w:r>
        <w:t>Dubai,</w:t>
      </w:r>
      <w:r w:rsidRPr="003C2497">
        <w:t xml:space="preserve"> 2014),</w:t>
      </w:r>
    </w:p>
    <w:p w:rsidR="00CA6190" w:rsidRPr="003C2497" w:rsidRDefault="00CA6190" w:rsidP="00DF6406">
      <w:pPr>
        <w:pStyle w:val="Call"/>
        <w:spacing w:before="120"/>
      </w:pPr>
      <w:proofErr w:type="gramStart"/>
      <w:r>
        <w:t>c</w:t>
      </w:r>
      <w:r w:rsidRPr="003C2497">
        <w:t>onsidering</w:t>
      </w:r>
      <w:proofErr w:type="gramEnd"/>
    </w:p>
    <w:p w:rsidR="00CA6190" w:rsidRDefault="00CA6190" w:rsidP="00CA6190">
      <w:pPr>
        <w:rPr>
          <w:rFonts w:cs="TimesNewRoman"/>
        </w:rPr>
      </w:pPr>
      <w:r w:rsidRPr="009E6B63">
        <w:rPr>
          <w:rFonts w:cs="TimesNewRoman"/>
          <w:i/>
        </w:rPr>
        <w:t>a)</w:t>
      </w:r>
      <w:r w:rsidRPr="009E6B63">
        <w:rPr>
          <w:rFonts w:cs="TimesNewRoman"/>
          <w:i/>
        </w:rPr>
        <w:tab/>
      </w:r>
      <w:r w:rsidRPr="00C55DA3">
        <w:t>the provisions of the ITU Constitution, as contained in Chapter IV thereof on the Telecommunication Development Sector (ITU-D), particularly with regard, inter alia, to the functions of the ITU-D for building awareness of the impact of telecommunications/information and communication technologies (ICTs) on national economic and social development, its catalytic role in promoting the development, expansion and operation of telecommunication services and networks, especially in developing countries, and the need to maintain and enhance cooperation with regional and other telecommunication organizations;</w:t>
      </w:r>
    </w:p>
    <w:p w:rsidR="00CA6190" w:rsidRPr="00C55DA3" w:rsidRDefault="00CA6190" w:rsidP="00CA6190">
      <w:r w:rsidRPr="009E6B63">
        <w:rPr>
          <w:rFonts w:cs="TimesNewRoman"/>
          <w:i/>
        </w:rPr>
        <w:t>b)</w:t>
      </w:r>
      <w:r w:rsidRPr="009E6B63">
        <w:rPr>
          <w:rFonts w:cs="TimesNewRoman"/>
          <w:i/>
        </w:rPr>
        <w:tab/>
      </w:r>
      <w:r w:rsidRPr="00C55DA3">
        <w:t>Article 3.5 of the International Telecommunication Regulations (Rev. Dubai, 2012),</w:t>
      </w:r>
    </w:p>
    <w:p w:rsidR="00CA6190" w:rsidRDefault="00CA6190" w:rsidP="00C55DA3">
      <w:pPr>
        <w:pStyle w:val="Call"/>
        <w:spacing w:before="120"/>
      </w:pPr>
      <w:proofErr w:type="gramStart"/>
      <w:r w:rsidRPr="003C2497">
        <w:t>considering</w:t>
      </w:r>
      <w:proofErr w:type="gramEnd"/>
      <w:r w:rsidRPr="003C2497">
        <w:t xml:space="preserve"> further</w:t>
      </w:r>
    </w:p>
    <w:p w:rsidR="00CA6190" w:rsidRPr="0010551E" w:rsidRDefault="00CA6190" w:rsidP="00CA6190">
      <w:pPr>
        <w:numPr>
          <w:ilvl w:val="0"/>
          <w:numId w:val="2"/>
        </w:numPr>
        <w:tabs>
          <w:tab w:val="clear" w:pos="794"/>
          <w:tab w:val="clear" w:pos="1191"/>
          <w:tab w:val="clear" w:pos="1588"/>
          <w:tab w:val="clear" w:pos="1985"/>
        </w:tabs>
        <w:overflowPunct/>
        <w:autoSpaceDE/>
        <w:autoSpaceDN/>
        <w:adjustRightInd/>
        <w:ind w:left="0" w:firstLine="0"/>
        <w:textAlignment w:val="auto"/>
        <w:rPr>
          <w:rFonts w:cs="TimesNewRoman"/>
        </w:rPr>
      </w:pPr>
      <w:r w:rsidRPr="00C55DA3">
        <w:t xml:space="preserve">Resolution 22 (Rev. Hyderabad 2010) of the World Telecommunication Development Conference on alternative calling procedures on international telecommunication networks, identification of origin and apportionment of revenues in providing international </w:t>
      </w:r>
      <w:r w:rsidRPr="0010551E">
        <w:rPr>
          <w:rFonts w:cs="TimesNewRoman"/>
        </w:rPr>
        <w:t>telecommunication services</w:t>
      </w:r>
      <w:r>
        <w:rPr>
          <w:rFonts w:cs="TimesNewRoman"/>
        </w:rPr>
        <w:t>;</w:t>
      </w:r>
      <w:r w:rsidRPr="0010551E">
        <w:rPr>
          <w:rFonts w:cs="TimesNewRoman"/>
        </w:rPr>
        <w:t xml:space="preserve"> </w:t>
      </w:r>
    </w:p>
    <w:p w:rsidR="00CA6190" w:rsidRPr="00C55DA3" w:rsidRDefault="00CA6190" w:rsidP="00CA6190">
      <w:r w:rsidRPr="009E6B63">
        <w:rPr>
          <w:rFonts w:cs="TimesNewRoman"/>
          <w:i/>
        </w:rPr>
        <w:t>b)</w:t>
      </w:r>
      <w:r>
        <w:rPr>
          <w:rFonts w:cs="TimesNewRoman"/>
        </w:rPr>
        <w:tab/>
      </w:r>
      <w:r w:rsidRPr="00C55DA3">
        <w:t>Resolution 26 (Rev. Doha, 2006) Assistance to countries in special need: Afghanistan;</w:t>
      </w:r>
    </w:p>
    <w:p w:rsidR="00CA6190" w:rsidRDefault="00CA6190" w:rsidP="00CA6190">
      <w:pPr>
        <w:rPr>
          <w:rFonts w:cs="TimesNewRoman"/>
        </w:rPr>
      </w:pPr>
      <w:r w:rsidRPr="009E6B63">
        <w:rPr>
          <w:rFonts w:cs="TimesNewRoman"/>
          <w:i/>
        </w:rPr>
        <w:t>c)</w:t>
      </w:r>
      <w:r>
        <w:rPr>
          <w:rFonts w:cs="TimesNewRoman"/>
        </w:rPr>
        <w:tab/>
      </w:r>
      <w:proofErr w:type="gramStart"/>
      <w:r w:rsidRPr="00C55DA3">
        <w:t>the</w:t>
      </w:r>
      <w:proofErr w:type="gramEnd"/>
      <w:r w:rsidRPr="00C55DA3">
        <w:t xml:space="preserve"> work done to-date in the ITU-D to assist countries to understand and to counter E.164 Telephone Numbering Misappropriation, through ITU-D programmes, activities and projects,</w:t>
      </w:r>
    </w:p>
    <w:p w:rsidR="00CA6190" w:rsidRPr="003C2497" w:rsidRDefault="00CA6190" w:rsidP="00C55DA3">
      <w:pPr>
        <w:pStyle w:val="Call"/>
        <w:spacing w:before="120"/>
      </w:pPr>
      <w:proofErr w:type="gramStart"/>
      <w:r w:rsidRPr="003C2497">
        <w:t>noting</w:t>
      </w:r>
      <w:proofErr w:type="gramEnd"/>
    </w:p>
    <w:p w:rsidR="00CA6190" w:rsidRDefault="00CA6190" w:rsidP="00CA6190">
      <w:pPr>
        <w:rPr>
          <w:rFonts w:cs="TimesNewRoman"/>
        </w:rPr>
      </w:pPr>
      <w:r w:rsidRPr="009E6B63">
        <w:rPr>
          <w:rFonts w:cs="TimesNewRoman"/>
          <w:i/>
        </w:rPr>
        <w:t>a)</w:t>
      </w:r>
      <w:r w:rsidRPr="009E6B63">
        <w:rPr>
          <w:rFonts w:cs="TimesNewRoman"/>
          <w:i/>
        </w:rPr>
        <w:tab/>
      </w:r>
      <w:proofErr w:type="gramStart"/>
      <w:r w:rsidRPr="00C55DA3">
        <w:t>that</w:t>
      </w:r>
      <w:proofErr w:type="gramEnd"/>
      <w:r w:rsidRPr="00C55DA3">
        <w:t xml:space="preserve"> many Member States have been significantly and adversely impacted by Telephone Number Misappropriation particularly developing countries;</w:t>
      </w:r>
    </w:p>
    <w:p w:rsidR="00CA6190" w:rsidRDefault="00CA6190" w:rsidP="00CA6190">
      <w:pPr>
        <w:rPr>
          <w:rFonts w:cs="TimesNewRoman"/>
        </w:rPr>
      </w:pPr>
      <w:r w:rsidRPr="009E6B63">
        <w:rPr>
          <w:rFonts w:cs="TimesNewRoman"/>
          <w:i/>
        </w:rPr>
        <w:t>b)</w:t>
      </w:r>
      <w:r w:rsidRPr="009E6B63">
        <w:rPr>
          <w:rFonts w:cs="TimesNewRoman"/>
          <w:i/>
        </w:rPr>
        <w:tab/>
      </w:r>
      <w:proofErr w:type="gramStart"/>
      <w:r w:rsidRPr="00C55DA3">
        <w:t>that</w:t>
      </w:r>
      <w:proofErr w:type="gramEnd"/>
      <w:r w:rsidRPr="00C55DA3">
        <w:t xml:space="preserve"> many operators have been significantly and adversely impacted by Telephone Number Misappropriation; </w:t>
      </w:r>
    </w:p>
    <w:p w:rsidR="00CA6190" w:rsidRPr="003A650D" w:rsidRDefault="00CA6190" w:rsidP="00CA6190">
      <w:pPr>
        <w:rPr>
          <w:rFonts w:cs="TimesNewRoman"/>
        </w:rPr>
      </w:pPr>
      <w:r w:rsidRPr="009E6B63">
        <w:rPr>
          <w:rFonts w:cs="TimesNewRoman"/>
          <w:i/>
        </w:rPr>
        <w:t>c)</w:t>
      </w:r>
      <w:r>
        <w:rPr>
          <w:rFonts w:cs="TimesNewRoman"/>
        </w:rPr>
        <w:tab/>
      </w:r>
      <w:r w:rsidRPr="00C55DA3">
        <w:t>Resolution 61 (Rev. Dubai, 2012) of the World Telecommunication Standardisation Assembly on countering and combatting misappropriation and misuse of international telecommunication numbering resources;</w:t>
      </w:r>
    </w:p>
    <w:p w:rsidR="00CA6190" w:rsidRDefault="00CA6190" w:rsidP="00CA6190">
      <w:pPr>
        <w:rPr>
          <w:rFonts w:cs="TimesNewRoman"/>
        </w:rPr>
      </w:pPr>
      <w:r w:rsidRPr="009E6B63">
        <w:rPr>
          <w:rFonts w:cs="TimesNewRoman"/>
          <w:i/>
        </w:rPr>
        <w:t>d)</w:t>
      </w:r>
      <w:r>
        <w:rPr>
          <w:rFonts w:cs="TimesNewRoman"/>
        </w:rPr>
        <w:tab/>
      </w:r>
      <w:r w:rsidRPr="00C55DA3">
        <w:t>ITU Telecommunications Standardisation Sector (ITU-T) Recommendation E.156, which sets out guidelines for ITU-T action on reported misuse of E.164 numbers, and Recommendation ITU-T E.156 Supplement 1, which provides a best practice guide on countering misuse of ITU-T E.164 numbering resources,</w:t>
      </w:r>
    </w:p>
    <w:p w:rsidR="00CA6190" w:rsidRDefault="00CA6190" w:rsidP="00113263">
      <w:pPr>
        <w:pStyle w:val="Call"/>
        <w:spacing w:before="120"/>
      </w:pPr>
      <w:proofErr w:type="gramStart"/>
      <w:r w:rsidRPr="003C2497">
        <w:t>taking</w:t>
      </w:r>
      <w:proofErr w:type="gramEnd"/>
      <w:r w:rsidRPr="003C2497">
        <w:t xml:space="preserve"> cognizance of</w:t>
      </w:r>
    </w:p>
    <w:p w:rsidR="00CA6190" w:rsidRDefault="00CA6190" w:rsidP="00A25818">
      <w:pPr>
        <w:rPr>
          <w:rFonts w:cs="TimesNewRoman"/>
        </w:rPr>
      </w:pPr>
      <w:r w:rsidRPr="0052017E">
        <w:rPr>
          <w:rFonts w:cs="TimesNewRoman"/>
          <w:i/>
        </w:rPr>
        <w:t>a)</w:t>
      </w:r>
      <w:r>
        <w:rPr>
          <w:rFonts w:cs="TimesNewRoman"/>
        </w:rPr>
        <w:tab/>
      </w:r>
      <w:r w:rsidRPr="00C55DA3">
        <w:t xml:space="preserve">Programme </w:t>
      </w:r>
      <w:r w:rsidR="00A25818">
        <w:t>3</w:t>
      </w:r>
      <w:r w:rsidRPr="00C55DA3">
        <w:t xml:space="preserve"> of the Hyderabad Action Plan (HAP) on the enabling environment, including the following priority areas:</w:t>
      </w:r>
    </w:p>
    <w:p w:rsidR="00CA6190" w:rsidRDefault="00CA6190" w:rsidP="00451CF8">
      <w:pPr>
        <w:numPr>
          <w:ilvl w:val="0"/>
          <w:numId w:val="3"/>
        </w:numPr>
        <w:tabs>
          <w:tab w:val="clear" w:pos="794"/>
          <w:tab w:val="clear" w:pos="1191"/>
          <w:tab w:val="clear" w:pos="1588"/>
          <w:tab w:val="clear" w:pos="1985"/>
        </w:tabs>
        <w:overflowPunct/>
        <w:spacing w:before="240"/>
        <w:ind w:left="794" w:hanging="794"/>
        <w:textAlignment w:val="auto"/>
        <w:rPr>
          <w:rFonts w:cs="TimesNewRoman"/>
        </w:rPr>
      </w:pPr>
      <w:r>
        <w:rPr>
          <w:rFonts w:cs="TimesNewRoman"/>
        </w:rPr>
        <w:t>assistance to develop national strategies, policies, plans, regulations and economic and financial mechanisms on topics including telephone numbering;</w:t>
      </w:r>
    </w:p>
    <w:p w:rsidR="00CA6190" w:rsidRDefault="00CA6190" w:rsidP="00451CF8">
      <w:pPr>
        <w:numPr>
          <w:ilvl w:val="0"/>
          <w:numId w:val="3"/>
        </w:numPr>
        <w:tabs>
          <w:tab w:val="clear" w:pos="794"/>
          <w:tab w:val="clear" w:pos="1191"/>
          <w:tab w:val="clear" w:pos="1588"/>
          <w:tab w:val="clear" w:pos="1985"/>
        </w:tabs>
        <w:overflowPunct/>
        <w:ind w:left="794" w:hanging="794"/>
        <w:textAlignment w:val="auto"/>
        <w:rPr>
          <w:rFonts w:cs="TimesNewRoman"/>
        </w:rPr>
      </w:pPr>
      <w:r w:rsidRPr="000C0F69">
        <w:rPr>
          <w:rFonts w:cs="TimesNewRoman"/>
        </w:rPr>
        <w:lastRenderedPageBreak/>
        <w:t>forums for information discussion and exchange</w:t>
      </w:r>
      <w:r>
        <w:rPr>
          <w:rFonts w:cs="TimesNewRoman"/>
        </w:rPr>
        <w:t>;</w:t>
      </w:r>
    </w:p>
    <w:p w:rsidR="00CA6190" w:rsidRDefault="00CA6190" w:rsidP="00451CF8">
      <w:pPr>
        <w:numPr>
          <w:ilvl w:val="0"/>
          <w:numId w:val="3"/>
        </w:numPr>
        <w:tabs>
          <w:tab w:val="clear" w:pos="794"/>
          <w:tab w:val="clear" w:pos="1191"/>
          <w:tab w:val="clear" w:pos="1588"/>
          <w:tab w:val="clear" w:pos="1985"/>
        </w:tabs>
        <w:overflowPunct/>
        <w:spacing w:after="240"/>
        <w:ind w:left="794" w:hanging="794"/>
        <w:textAlignment w:val="auto"/>
        <w:rPr>
          <w:rFonts w:cs="TimesNewRoman"/>
        </w:rPr>
      </w:pPr>
      <w:r w:rsidRPr="000C0F69">
        <w:rPr>
          <w:rFonts w:cs="TimesNewRoman"/>
        </w:rPr>
        <w:t>development of tools and increased knowledge and know-how</w:t>
      </w:r>
      <w:r>
        <w:rPr>
          <w:rFonts w:cs="TimesNewRoman"/>
        </w:rPr>
        <w:t>;</w:t>
      </w:r>
    </w:p>
    <w:p w:rsidR="00CA6190" w:rsidRPr="003C2497" w:rsidRDefault="00CA6190">
      <w:pPr>
        <w:spacing w:after="120"/>
        <w:pPrChange w:id="8" w:author="Faure, Graciela" w:date="2014-03-05T09:45:00Z">
          <w:pPr/>
        </w:pPrChange>
      </w:pPr>
      <w:r w:rsidRPr="0052017E">
        <w:rPr>
          <w:i/>
        </w:rPr>
        <w:t>b)</w:t>
      </w:r>
      <w:r>
        <w:tab/>
      </w:r>
      <w:proofErr w:type="gramStart"/>
      <w:r>
        <w:t>the</w:t>
      </w:r>
      <w:proofErr w:type="gramEnd"/>
      <w:r>
        <w:t xml:space="preserve"> immediate needs of Small Island Development States (SIDS) and specific regions or sub</w:t>
      </w:r>
      <w:r>
        <w:noBreakHyphen/>
        <w:t xml:space="preserve">regions, such as the Pacific Islands, to counter telephone number misappropriation, </w:t>
      </w:r>
    </w:p>
    <w:p w:rsidR="00CA6190" w:rsidRDefault="00CA6190" w:rsidP="00C55DA3">
      <w:pPr>
        <w:pStyle w:val="Call"/>
        <w:spacing w:before="120"/>
      </w:pPr>
      <w:proofErr w:type="gramStart"/>
      <w:r w:rsidRPr="003C2497">
        <w:t>recognizing</w:t>
      </w:r>
      <w:proofErr w:type="gramEnd"/>
    </w:p>
    <w:p w:rsidR="00CA6190" w:rsidRDefault="00CA6190" w:rsidP="00C55DA3">
      <w:r w:rsidRPr="0052017E">
        <w:rPr>
          <w:i/>
        </w:rPr>
        <w:t>a)</w:t>
      </w:r>
      <w:r w:rsidRPr="0052017E">
        <w:rPr>
          <w:i/>
        </w:rPr>
        <w:tab/>
      </w:r>
      <w:proofErr w:type="gramStart"/>
      <w:r w:rsidRPr="001B7411">
        <w:t>that</w:t>
      </w:r>
      <w:proofErr w:type="gramEnd"/>
      <w:r w:rsidRPr="001B7411">
        <w:t xml:space="preserve"> there is a need to combat </w:t>
      </w:r>
      <w:r>
        <w:t>E.164 Telephone Number Misappropriation;</w:t>
      </w:r>
    </w:p>
    <w:p w:rsidR="00CA6190" w:rsidRDefault="00CA6190" w:rsidP="00C55DA3">
      <w:r w:rsidRPr="0052017E">
        <w:rPr>
          <w:i/>
        </w:rPr>
        <w:t>b)</w:t>
      </w:r>
      <w:r w:rsidRPr="0052017E">
        <w:rPr>
          <w:i/>
        </w:rPr>
        <w:tab/>
      </w:r>
      <w:proofErr w:type="gramStart"/>
      <w:r>
        <w:t>that</w:t>
      </w:r>
      <w:proofErr w:type="gramEnd"/>
      <w:r>
        <w:t xml:space="preserve"> the allocation of global telephone numbering resources is managed and allocated by the Director of the Telecommunication Standardization Bureau (TSB);</w:t>
      </w:r>
    </w:p>
    <w:p w:rsidR="00CA6190" w:rsidRPr="001B7411" w:rsidRDefault="00CA6190" w:rsidP="00C55DA3">
      <w:r w:rsidRPr="0052017E">
        <w:rPr>
          <w:i/>
        </w:rPr>
        <w:t>c)</w:t>
      </w:r>
      <w:r>
        <w:tab/>
      </w:r>
      <w:r w:rsidRPr="001B7411">
        <w:t xml:space="preserve">that </w:t>
      </w:r>
      <w:r>
        <w:t>the management and allocation of national telephone numbering resources is the responsibility of M</w:t>
      </w:r>
      <w:r w:rsidRPr="001B7411">
        <w:t>ember States</w:t>
      </w:r>
      <w:r>
        <w:t>, and</w:t>
      </w:r>
      <w:r w:rsidRPr="001B7411">
        <w:t xml:space="preserve"> that such management</w:t>
      </w:r>
      <w:r>
        <w:t xml:space="preserve"> is their sovereign right and</w:t>
      </w:r>
      <w:r w:rsidRPr="001B7411">
        <w:t xml:space="preserve"> reflect</w:t>
      </w:r>
      <w:r>
        <w:t>ed in</w:t>
      </w:r>
      <w:r w:rsidRPr="001B7411">
        <w:t xml:space="preserve"> national regulatory and legal frameworks</w:t>
      </w:r>
      <w:r>
        <w:t>;</w:t>
      </w:r>
    </w:p>
    <w:p w:rsidR="00CA6190" w:rsidRPr="001B7411" w:rsidRDefault="00CA6190" w:rsidP="00C55DA3">
      <w:r w:rsidRPr="0052017E">
        <w:rPr>
          <w:i/>
        </w:rPr>
        <w:t>d)</w:t>
      </w:r>
      <w:r>
        <w:tab/>
      </w:r>
      <w:proofErr w:type="gramStart"/>
      <w:r w:rsidRPr="001B7411">
        <w:t>that</w:t>
      </w:r>
      <w:proofErr w:type="gramEnd"/>
      <w:r w:rsidRPr="001B7411">
        <w:t xml:space="preserve"> differences exist between </w:t>
      </w:r>
      <w:r>
        <w:t>M</w:t>
      </w:r>
      <w:r w:rsidRPr="001B7411">
        <w:t>ember States in their approach to managing their national telephone numbering</w:t>
      </w:r>
      <w:r>
        <w:t xml:space="preserve"> resources;</w:t>
      </w:r>
      <w:r w:rsidRPr="001B7411">
        <w:t xml:space="preserve"> </w:t>
      </w:r>
    </w:p>
    <w:p w:rsidR="00CA6190" w:rsidRPr="000A301F" w:rsidRDefault="00CA6190" w:rsidP="00C55DA3">
      <w:r>
        <w:t>e)</w:t>
      </w:r>
      <w:r>
        <w:tab/>
      </w:r>
      <w:r w:rsidRPr="001B7411">
        <w:t xml:space="preserve">that </w:t>
      </w:r>
      <w:r>
        <w:t xml:space="preserve">Member States </w:t>
      </w:r>
      <w:r w:rsidRPr="001B7411">
        <w:t xml:space="preserve">have the right to assign rules to the parties to whom </w:t>
      </w:r>
      <w:r>
        <w:t>they</w:t>
      </w:r>
      <w:r w:rsidRPr="001B7411">
        <w:t xml:space="preserve"> allocate </w:t>
      </w:r>
      <w:r>
        <w:t xml:space="preserve">telephone </w:t>
      </w:r>
      <w:r w:rsidRPr="001B7411">
        <w:t>number</w:t>
      </w:r>
      <w:r>
        <w:t xml:space="preserve">ing resources; for example through </w:t>
      </w:r>
      <w:r w:rsidRPr="001B7411">
        <w:t xml:space="preserve">National Numbering Plan </w:t>
      </w:r>
      <w:r w:rsidRPr="006052CA">
        <w:t>A</w:t>
      </w:r>
      <w:r w:rsidRPr="001B7411">
        <w:t>uthorities</w:t>
      </w:r>
      <w:r>
        <w:t>;</w:t>
      </w:r>
    </w:p>
    <w:p w:rsidR="00CA6190" w:rsidRDefault="00CA6190" w:rsidP="00C55DA3">
      <w:r>
        <w:t>f)</w:t>
      </w:r>
      <w:r>
        <w:tab/>
      </w:r>
      <w:proofErr w:type="gramStart"/>
      <w:r w:rsidRPr="001B7411">
        <w:t>that</w:t>
      </w:r>
      <w:proofErr w:type="gramEnd"/>
      <w:r w:rsidRPr="001B7411">
        <w:t xml:space="preserve"> Communication Providers must </w:t>
      </w:r>
      <w:r>
        <w:t>act</w:t>
      </w:r>
      <w:r w:rsidRPr="001B7411">
        <w:t xml:space="preserve"> in accordance with</w:t>
      </w:r>
      <w:r>
        <w:t xml:space="preserve"> all applicable</w:t>
      </w:r>
      <w:r w:rsidRPr="001B7411">
        <w:t xml:space="preserve"> national regulatory and legal framework</w:t>
      </w:r>
      <w:r>
        <w:t>s</w:t>
      </w:r>
      <w:r w:rsidRPr="001B7411">
        <w:t xml:space="preserve"> of the Member State in which the number is being used</w:t>
      </w:r>
      <w:r>
        <w:t>;</w:t>
      </w:r>
    </w:p>
    <w:p w:rsidR="00CA6190" w:rsidRDefault="00CA6190" w:rsidP="00113263">
      <w:pPr>
        <w:pStyle w:val="Call"/>
        <w:spacing w:before="120"/>
      </w:pPr>
      <w:proofErr w:type="gramStart"/>
      <w:r w:rsidRPr="003C2497">
        <w:t>requests</w:t>
      </w:r>
      <w:proofErr w:type="gramEnd"/>
      <w:r w:rsidRPr="003C2497">
        <w:t xml:space="preserve"> the </w:t>
      </w:r>
      <w:r>
        <w:t xml:space="preserve">Director of Telecommunication Development Bureau   </w:t>
      </w:r>
    </w:p>
    <w:p w:rsidR="00CA6190" w:rsidRDefault="00CA6190" w:rsidP="00C55DA3">
      <w:r>
        <w:t>1</w:t>
      </w:r>
      <w:r>
        <w:tab/>
        <w:t>to publish, identify, promote and use the reports produced thus far as a template of future activity in order to allow a consistent identification of the issues and to combat E.164 Telephone Number Misappropriation;</w:t>
      </w:r>
    </w:p>
    <w:p w:rsidR="00CA6190" w:rsidRPr="006E0C6A" w:rsidRDefault="00CA6190" w:rsidP="00C55DA3">
      <w:r>
        <w:t>2</w:t>
      </w:r>
      <w:r>
        <w:tab/>
      </w:r>
      <w:r w:rsidRPr="006E0C6A">
        <w:t xml:space="preserve">to continue to work with </w:t>
      </w:r>
      <w:r>
        <w:t xml:space="preserve">regions, sub-regions and </w:t>
      </w:r>
      <w:r w:rsidRPr="006E0C6A">
        <w:t>countries</w:t>
      </w:r>
      <w:r>
        <w:t>, in particular developing countries and least developed countries:</w:t>
      </w:r>
      <w:r w:rsidRPr="006E0C6A">
        <w:t xml:space="preserve"> </w:t>
      </w:r>
    </w:p>
    <w:p w:rsidR="00CA6190" w:rsidRDefault="00CA6190" w:rsidP="00451CF8">
      <w:pPr>
        <w:numPr>
          <w:ilvl w:val="0"/>
          <w:numId w:val="1"/>
        </w:numPr>
        <w:tabs>
          <w:tab w:val="clear" w:pos="794"/>
          <w:tab w:val="clear" w:pos="1191"/>
          <w:tab w:val="clear" w:pos="1588"/>
          <w:tab w:val="clear" w:pos="1985"/>
        </w:tabs>
        <w:overflowPunct/>
        <w:spacing w:before="240"/>
        <w:ind w:left="794" w:hanging="794"/>
        <w:textAlignment w:val="auto"/>
      </w:pPr>
      <w:r>
        <w:t>to develop legal and regulatory frameworks that are sufficient to ensure best practice in E.164 telephone numbering management in order to counter Telephone Number Misappropriation;</w:t>
      </w:r>
    </w:p>
    <w:p w:rsidR="00CA6190" w:rsidRDefault="00CA6190" w:rsidP="00451CF8">
      <w:pPr>
        <w:numPr>
          <w:ilvl w:val="0"/>
          <w:numId w:val="1"/>
        </w:numPr>
        <w:tabs>
          <w:tab w:val="clear" w:pos="794"/>
          <w:tab w:val="clear" w:pos="1191"/>
          <w:tab w:val="clear" w:pos="1588"/>
          <w:tab w:val="clear" w:pos="1985"/>
        </w:tabs>
        <w:overflowPunct/>
        <w:spacing w:after="240"/>
        <w:ind w:left="794" w:hanging="794"/>
        <w:textAlignment w:val="auto"/>
      </w:pPr>
      <w:r>
        <w:t>to ensure that national numbering plans are available, either directly from the Member State or via the ITU Operational Bulletin, to contribute to countering Telephone Number Misappropriation;</w:t>
      </w:r>
    </w:p>
    <w:p w:rsidR="00CA6190" w:rsidRDefault="00CA6190" w:rsidP="00CA6190">
      <w:r>
        <w:t>3</w:t>
      </w:r>
      <w:r>
        <w:tab/>
        <w:t>to be responsive to Member State requests, particularly those from developing countries and SIDS, towards developing, supporting and acting on best practice on Telephone Number Misappropriation, resulting in templates, proposals, Recommendations and Resolutions to counter and combat E.164 Telephone Number Misappropriation;</w:t>
      </w:r>
    </w:p>
    <w:p w:rsidR="00CA6190" w:rsidRDefault="00CA6190" w:rsidP="00C55DA3">
      <w:r>
        <w:t>4</w:t>
      </w:r>
      <w:r>
        <w:tab/>
        <w:t>to work cooperatively with the TSB Director and ITU-T to continue to develop measures based on proven best practice to combat E.164 Telephone Number Misappropriation;</w:t>
      </w:r>
    </w:p>
    <w:p w:rsidR="00CA6190" w:rsidRDefault="00CA6190" w:rsidP="00C55DA3">
      <w:r>
        <w:rPr>
          <w:rFonts w:cs="TimesNewRoman"/>
        </w:rPr>
        <w:t>5</w:t>
      </w:r>
      <w:r>
        <w:rPr>
          <w:rFonts w:cs="TimesNewRoman"/>
        </w:rPr>
        <w:tab/>
        <w:t xml:space="preserve">to </w:t>
      </w:r>
      <w:r w:rsidRPr="0087425E">
        <w:rPr>
          <w:rFonts w:cs="TimesNewRoman"/>
        </w:rPr>
        <w:t xml:space="preserve">encourage </w:t>
      </w:r>
      <w:r>
        <w:rPr>
          <w:rFonts w:cs="TimesNewRoman"/>
        </w:rPr>
        <w:t>A</w:t>
      </w:r>
      <w:r w:rsidRPr="0087425E">
        <w:rPr>
          <w:rFonts w:cs="TimesNewRoman"/>
        </w:rPr>
        <w:t xml:space="preserve">dministrations and </w:t>
      </w:r>
      <w:r>
        <w:rPr>
          <w:rFonts w:cs="TimesNewRoman"/>
        </w:rPr>
        <w:t>N</w:t>
      </w:r>
      <w:r w:rsidRPr="0087425E">
        <w:rPr>
          <w:rFonts w:cs="TimesNewRoman"/>
        </w:rPr>
        <w:t xml:space="preserve">ational </w:t>
      </w:r>
      <w:r>
        <w:rPr>
          <w:rFonts w:cs="TimesNewRoman"/>
        </w:rPr>
        <w:t>R</w:t>
      </w:r>
      <w:r w:rsidRPr="0087425E">
        <w:rPr>
          <w:rFonts w:cs="TimesNewRoman"/>
        </w:rPr>
        <w:t xml:space="preserve">egulators to </w:t>
      </w:r>
      <w:r>
        <w:rPr>
          <w:rFonts w:cs="TimesNewRoman"/>
        </w:rPr>
        <w:t xml:space="preserve">directly </w:t>
      </w:r>
      <w:r w:rsidRPr="0087425E">
        <w:rPr>
          <w:rFonts w:cs="TimesNewRoman"/>
        </w:rPr>
        <w:t xml:space="preserve">collaborate and share information on activities related to </w:t>
      </w:r>
      <w:r>
        <w:rPr>
          <w:rFonts w:cs="TimesNewRoman"/>
        </w:rPr>
        <w:t>Telephone Number Misappropriation,</w:t>
      </w:r>
    </w:p>
    <w:p w:rsidR="00CA6190" w:rsidRDefault="00CA6190" w:rsidP="00CA6190">
      <w:pPr>
        <w:ind w:firstLine="720"/>
        <w:rPr>
          <w:rFonts w:cs="TimesNewRoman"/>
          <w:i/>
        </w:rPr>
      </w:pPr>
      <w:proofErr w:type="gramStart"/>
      <w:r>
        <w:rPr>
          <w:rFonts w:cs="TimesNewRoman"/>
          <w:i/>
        </w:rPr>
        <w:t>invites</w:t>
      </w:r>
      <w:proofErr w:type="gramEnd"/>
      <w:r w:rsidRPr="000C0F69">
        <w:rPr>
          <w:rFonts w:cs="TimesNewRoman"/>
          <w:i/>
        </w:rPr>
        <w:t xml:space="preserve"> </w:t>
      </w:r>
      <w:r>
        <w:rPr>
          <w:rFonts w:cs="TimesNewRoman"/>
          <w:i/>
        </w:rPr>
        <w:t>Member States</w:t>
      </w:r>
    </w:p>
    <w:p w:rsidR="00CA6190" w:rsidRDefault="00CA6190" w:rsidP="00C55DA3">
      <w:r>
        <w:lastRenderedPageBreak/>
        <w:t>1</w:t>
      </w:r>
      <w:r>
        <w:tab/>
      </w:r>
      <w:r w:rsidRPr="0087425E">
        <w:t xml:space="preserve">to collaborate to </w:t>
      </w:r>
      <w:r>
        <w:t xml:space="preserve">identify, </w:t>
      </w:r>
      <w:r w:rsidRPr="0087425E">
        <w:t>counter and combat activities</w:t>
      </w:r>
      <w:r>
        <w:t xml:space="preserve"> associated with E.164 telephone number misappropriation;</w:t>
      </w:r>
    </w:p>
    <w:p w:rsidR="00CA6190" w:rsidRPr="00F0381A" w:rsidRDefault="00CA6190" w:rsidP="00C55DA3">
      <w:r>
        <w:t>2</w:t>
      </w:r>
      <w:r>
        <w:tab/>
      </w:r>
      <w:r w:rsidRPr="0087425E">
        <w:t xml:space="preserve">to encourage </w:t>
      </w:r>
      <w:r w:rsidRPr="00F0381A">
        <w:t xml:space="preserve">implementation of </w:t>
      </w:r>
      <w:r w:rsidRPr="0087425E">
        <w:t xml:space="preserve">ITU-T Recommendations in order to mitigate the adverse </w:t>
      </w:r>
      <w:r w:rsidRPr="00F0381A">
        <w:t>impacts of</w:t>
      </w:r>
      <w:r w:rsidRPr="0087425E">
        <w:t xml:space="preserve"> </w:t>
      </w:r>
      <w:r>
        <w:t>Telephone Number M</w:t>
      </w:r>
      <w:r w:rsidRPr="0087425E">
        <w:t xml:space="preserve">isappropriation, including blocking of </w:t>
      </w:r>
      <w:r w:rsidRPr="00E07A54">
        <w:t>calls</w:t>
      </w:r>
      <w:r w:rsidRPr="0087425E">
        <w:t xml:space="preserve"> to certain countries</w:t>
      </w:r>
      <w:r>
        <w:t>;</w:t>
      </w:r>
      <w:r w:rsidRPr="00F0381A">
        <w:t xml:space="preserve"> </w:t>
      </w:r>
    </w:p>
    <w:p w:rsidR="00CA6190" w:rsidRDefault="00CA6190" w:rsidP="00C55DA3">
      <w:r>
        <w:t>3</w:t>
      </w:r>
      <w:r>
        <w:tab/>
      </w:r>
      <w:r w:rsidRPr="0087425E">
        <w:t xml:space="preserve">to support the development and deployment of </w:t>
      </w:r>
      <w:r>
        <w:t xml:space="preserve">E.164 </w:t>
      </w:r>
      <w:r w:rsidRPr="0087425E">
        <w:t>telephone numbering management best practice within their jurisdiction</w:t>
      </w:r>
      <w:r>
        <w:t>;</w:t>
      </w:r>
    </w:p>
    <w:p w:rsidR="00CA6190" w:rsidRPr="00FD2351" w:rsidRDefault="00CA6190" w:rsidP="00C55DA3">
      <w:r>
        <w:t>4</w:t>
      </w:r>
      <w:r>
        <w:tab/>
      </w:r>
      <w:r w:rsidRPr="00C6374B">
        <w:t xml:space="preserve">to work collaboratively with other Member States and with </w:t>
      </w:r>
      <w:r w:rsidRPr="006052CA">
        <w:t>service</w:t>
      </w:r>
      <w:r w:rsidRPr="00E07A54">
        <w:t xml:space="preserve"> </w:t>
      </w:r>
      <w:r w:rsidRPr="006052CA">
        <w:t>p</w:t>
      </w:r>
      <w:r w:rsidRPr="00E07A54">
        <w:t>roviders</w:t>
      </w:r>
      <w:r w:rsidRPr="00C6374B">
        <w:t xml:space="preserve"> to keep them informed of the rules, guidelines and allocation methods for E.164 telephone numbers within their country.</w:t>
      </w:r>
    </w:p>
    <w:p w:rsidR="00CA6190" w:rsidRPr="00222F2C" w:rsidRDefault="00CA6190" w:rsidP="00CA6190">
      <w:pPr>
        <w:rPr>
          <w:bCs/>
        </w:rPr>
      </w:pPr>
    </w:p>
    <w:p w:rsidR="00CA6190" w:rsidRPr="00C6401A" w:rsidRDefault="00DF6406" w:rsidP="00451CF8">
      <w:pPr>
        <w:jc w:val="center"/>
        <w:rPr>
          <w:rFonts w:eastAsia="Malgun Gothic"/>
          <w:bCs/>
          <w:lang w:eastAsia="ko-KR"/>
          <w:rPrChange w:id="9" w:author="Faure, Graciela" w:date="2014-03-05T09:46:00Z">
            <w:rPr>
              <w:rFonts w:eastAsia="Malgun Gothic"/>
              <w:b/>
              <w:lang w:eastAsia="ko-KR"/>
            </w:rPr>
          </w:rPrChange>
        </w:rPr>
      </w:pPr>
      <w:r>
        <w:rPr>
          <w:rFonts w:eastAsia="Malgun Gothic"/>
          <w:b/>
          <w:lang w:eastAsia="ko-KR"/>
        </w:rPr>
        <w:softHyphen/>
      </w:r>
      <w:r>
        <w:rPr>
          <w:rFonts w:eastAsia="Malgun Gothic"/>
          <w:b/>
          <w:lang w:eastAsia="ko-KR"/>
        </w:rPr>
        <w:softHyphen/>
      </w:r>
      <w:r>
        <w:rPr>
          <w:rFonts w:eastAsia="Malgun Gothic"/>
          <w:b/>
          <w:lang w:eastAsia="ko-KR"/>
        </w:rPr>
        <w:softHyphen/>
      </w:r>
      <w:r>
        <w:rPr>
          <w:rFonts w:eastAsia="Malgun Gothic"/>
          <w:b/>
          <w:lang w:eastAsia="ko-KR"/>
        </w:rPr>
        <w:softHyphen/>
      </w:r>
      <w:r w:rsidR="00C6401A">
        <w:rPr>
          <w:rFonts w:eastAsia="Malgun Gothic"/>
          <w:bCs/>
          <w:lang w:eastAsia="ko-KR"/>
        </w:rPr>
        <w:softHyphen/>
      </w:r>
      <w:r w:rsidR="00C6401A">
        <w:rPr>
          <w:rFonts w:eastAsia="Malgun Gothic"/>
          <w:bCs/>
          <w:lang w:eastAsia="ko-KR"/>
        </w:rPr>
        <w:softHyphen/>
      </w:r>
      <w:r w:rsidR="00C6401A">
        <w:rPr>
          <w:rFonts w:eastAsia="Malgun Gothic"/>
          <w:bCs/>
          <w:lang w:eastAsia="ko-KR"/>
        </w:rPr>
        <w:softHyphen/>
      </w:r>
      <w:r w:rsidR="00C6401A">
        <w:rPr>
          <w:rFonts w:eastAsia="Malgun Gothic"/>
          <w:bCs/>
          <w:lang w:eastAsia="ko-KR"/>
        </w:rPr>
        <w:softHyphen/>
        <w:t>_______________</w:t>
      </w:r>
    </w:p>
    <w:sectPr w:rsidR="00CA6190" w:rsidRPr="00C6401A" w:rsidSect="00B37866">
      <w:headerReference w:type="default" r:id="rId10"/>
      <w:footerReference w:type="default" r:id="rId11"/>
      <w:footerReference w:type="first" r:id="rId1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448" w:rsidRDefault="007D6448">
      <w:r>
        <w:separator/>
      </w:r>
    </w:p>
  </w:endnote>
  <w:endnote w:type="continuationSeparator" w:id="0">
    <w:p w:rsidR="007D6448" w:rsidRDefault="007D6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SimHei">
    <w:altName w:val="黑体"/>
    <w:panose1 w:val="02010609060101010101"/>
    <w:charset w:val="86"/>
    <w:family w:val="modern"/>
    <w:pitch w:val="fixed"/>
    <w:sig w:usb0="800002BF" w:usb1="38CF7CFA"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New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9E4DC6" w:rsidRDefault="009E4DC6" w:rsidP="009E4DC6">
    <w:pPr>
      <w:pStyle w:val="Footer"/>
      <w:rPr>
        <w:lang w:val="en-US"/>
      </w:rPr>
    </w:pPr>
    <w:r>
      <w:rPr>
        <w:lang w:val="en-US"/>
      </w:rPr>
      <w:fldChar w:fldCharType="begin"/>
    </w:r>
    <w:r>
      <w:rPr>
        <w:lang w:val="en-US"/>
      </w:rPr>
      <w:instrText xml:space="preserve"> FILENAME  \p  \* MERGEFORMAT </w:instrText>
    </w:r>
    <w:r>
      <w:rPr>
        <w:lang w:val="en-US"/>
      </w:rPr>
      <w:fldChar w:fldCharType="separate"/>
    </w:r>
    <w:r>
      <w:rPr>
        <w:lang w:val="en-US"/>
      </w:rPr>
      <w:t>Z:\DOC\037ADD2E_APT_V1_clean.docx</w:t>
    </w:r>
    <w:r>
      <w:rPr>
        <w:lang w:val="en-US"/>
      </w:rPr>
      <w:fldChar w:fldCharType="end"/>
    </w:r>
    <w:r w:rsidR="00721657" w:rsidRPr="009E4DC6">
      <w:rPr>
        <w:lang w:val="en-US"/>
      </w:rPr>
      <w:tab/>
    </w:r>
    <w:r w:rsidR="00E56A99" w:rsidRPr="009E4DC6">
      <w:rPr>
        <w:lang w:val="en-US"/>
      </w:rPr>
      <w:tab/>
    </w:r>
    <w:r w:rsidR="00721657">
      <w:fldChar w:fldCharType="begin"/>
    </w:r>
    <w:r w:rsidR="00721657">
      <w:instrText xml:space="preserve"> savedate \@ dd.MM.yy </w:instrText>
    </w:r>
    <w:r w:rsidR="00721657">
      <w:fldChar w:fldCharType="separate"/>
    </w:r>
    <w:r w:rsidR="00921273">
      <w:t>11.03.14</w:t>
    </w:r>
    <w:r w:rsidR="00721657">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6C1F18" w:rsidRDefault="00721657" w:rsidP="00210259">
    <w:pPr>
      <w:pStyle w:val="FirstFooter"/>
      <w:pBdr>
        <w:top w:val="single" w:sz="4" w:space="3" w:color="auto"/>
      </w:pBdr>
      <w:tabs>
        <w:tab w:val="left" w:pos="1559"/>
        <w:tab w:val="left" w:pos="3828"/>
      </w:tabs>
      <w:ind w:left="3827" w:hanging="3827"/>
      <w:rPr>
        <w:sz w:val="18"/>
        <w:szCs w:val="18"/>
        <w:lang w:val="en-US"/>
      </w:rPr>
    </w:pPr>
    <w:r w:rsidRPr="006C1F18">
      <w:rPr>
        <w:sz w:val="18"/>
        <w:szCs w:val="18"/>
        <w:lang w:val="en-US"/>
      </w:rPr>
      <w:t>Contact:</w:t>
    </w:r>
    <w:r w:rsidRPr="006C1F18">
      <w:rPr>
        <w:sz w:val="18"/>
        <w:szCs w:val="18"/>
        <w:lang w:val="en-US"/>
      </w:rPr>
      <w:tab/>
      <w:t>Name/Organization/Entity:</w:t>
    </w:r>
    <w:r w:rsidRPr="006C1F18">
      <w:rPr>
        <w:sz w:val="18"/>
        <w:szCs w:val="18"/>
        <w:lang w:val="en-US"/>
      </w:rPr>
      <w:tab/>
    </w:r>
    <w:bookmarkStart w:id="12" w:name="OrgName"/>
    <w:bookmarkEnd w:id="12"/>
    <w:r w:rsidR="00051635">
      <w:rPr>
        <w:sz w:val="18"/>
        <w:szCs w:val="18"/>
        <w:lang w:val="en-US"/>
      </w:rPr>
      <w:t>Toshiyuki Yama</w:t>
    </w:r>
    <w:r w:rsidR="00210259">
      <w:rPr>
        <w:sz w:val="18"/>
        <w:szCs w:val="18"/>
        <w:lang w:val="en-US"/>
      </w:rPr>
      <w:t xml:space="preserve">da, Asia-Pacific </w:t>
    </w:r>
    <w:proofErr w:type="spellStart"/>
    <w:r w:rsidR="00210259">
      <w:rPr>
        <w:sz w:val="18"/>
        <w:szCs w:val="18"/>
        <w:lang w:val="en-US"/>
      </w:rPr>
      <w:t>Telecommunity</w:t>
    </w:r>
    <w:proofErr w:type="spellEnd"/>
    <w:del w:id="13" w:author="BDT" w:date="2014-02-20T10:10:00Z">
      <w:r w:rsidR="0075070C" w:rsidDel="009171AE">
        <w:rPr>
          <w:sz w:val="18"/>
          <w:szCs w:val="18"/>
          <w:lang w:val="en-US"/>
        </w:rPr>
        <w:delText>,</w:delText>
      </w:r>
    </w:del>
  </w:p>
  <w:p w:rsidR="00721657" w:rsidRPr="00A70BC6" w:rsidRDefault="00721657" w:rsidP="00245D0F">
    <w:pPr>
      <w:pStyle w:val="FirstFooter"/>
      <w:tabs>
        <w:tab w:val="left" w:pos="1559"/>
        <w:tab w:val="left" w:pos="3828"/>
      </w:tabs>
      <w:ind w:firstLine="1559"/>
      <w:rPr>
        <w:sz w:val="18"/>
        <w:szCs w:val="18"/>
        <w:lang w:val="en-US"/>
      </w:rPr>
    </w:pPr>
    <w:r w:rsidRPr="00A70BC6">
      <w:rPr>
        <w:sz w:val="18"/>
        <w:szCs w:val="18"/>
        <w:lang w:val="en-US"/>
      </w:rPr>
      <w:t>Phone number:</w:t>
    </w:r>
    <w:r w:rsidRPr="00A70BC6">
      <w:rPr>
        <w:sz w:val="18"/>
        <w:szCs w:val="18"/>
        <w:lang w:val="en-US"/>
      </w:rPr>
      <w:tab/>
    </w:r>
    <w:bookmarkStart w:id="14" w:name="PhoneNo"/>
    <w:bookmarkEnd w:id="14"/>
    <w:r w:rsidR="00051635">
      <w:rPr>
        <w:sz w:val="18"/>
        <w:szCs w:val="18"/>
        <w:lang w:val="en-US"/>
      </w:rPr>
      <w:t>+66</w:t>
    </w:r>
    <w:r w:rsidR="00210259">
      <w:rPr>
        <w:sz w:val="18"/>
        <w:szCs w:val="18"/>
        <w:lang w:val="en-US"/>
      </w:rPr>
      <w:t xml:space="preserve"> </w:t>
    </w:r>
    <w:r w:rsidR="00051635">
      <w:rPr>
        <w:sz w:val="18"/>
        <w:szCs w:val="18"/>
        <w:lang w:val="en-US"/>
      </w:rPr>
      <w:t>2</w:t>
    </w:r>
    <w:r w:rsidR="007E195A">
      <w:rPr>
        <w:sz w:val="18"/>
        <w:szCs w:val="18"/>
        <w:lang w:val="en-US"/>
      </w:rPr>
      <w:t xml:space="preserve"> </w:t>
    </w:r>
    <w:r w:rsidR="00051635">
      <w:rPr>
        <w:sz w:val="18"/>
        <w:szCs w:val="18"/>
        <w:lang w:val="en-US"/>
      </w:rPr>
      <w:t>5730044</w:t>
    </w:r>
  </w:p>
  <w:p w:rsidR="00721657" w:rsidRPr="00051635" w:rsidRDefault="00721657" w:rsidP="00245D0F">
    <w:pPr>
      <w:pStyle w:val="FirstFooter"/>
      <w:tabs>
        <w:tab w:val="left" w:pos="1559"/>
        <w:tab w:val="left" w:pos="3828"/>
      </w:tabs>
      <w:ind w:firstLine="1559"/>
      <w:rPr>
        <w:sz w:val="18"/>
        <w:szCs w:val="18"/>
        <w:lang w:val="en-US"/>
      </w:rPr>
    </w:pPr>
    <w:r w:rsidRPr="00F938F7">
      <w:rPr>
        <w:sz w:val="18"/>
        <w:szCs w:val="18"/>
        <w:lang w:val="en-US"/>
      </w:rPr>
      <w:t>E-mail:</w:t>
    </w:r>
    <w:r w:rsidRPr="00F938F7">
      <w:rPr>
        <w:sz w:val="18"/>
        <w:szCs w:val="18"/>
        <w:lang w:val="en-US"/>
      </w:rPr>
      <w:tab/>
    </w:r>
    <w:bookmarkStart w:id="15" w:name="Email"/>
    <w:bookmarkEnd w:id="15"/>
    <w:r w:rsidR="00210259">
      <w:rPr>
        <w:sz w:val="18"/>
        <w:szCs w:val="18"/>
        <w:lang w:val="en-US"/>
      </w:rPr>
      <w:fldChar w:fldCharType="begin"/>
    </w:r>
    <w:r w:rsidR="00210259">
      <w:rPr>
        <w:sz w:val="18"/>
        <w:szCs w:val="18"/>
        <w:lang w:val="en-US"/>
      </w:rPr>
      <w:instrText xml:space="preserve"> HYPERLINK "mailto:aptwtdc@apt.int" </w:instrText>
    </w:r>
    <w:r w:rsidR="00210259">
      <w:rPr>
        <w:sz w:val="18"/>
        <w:szCs w:val="18"/>
        <w:lang w:val="en-US"/>
      </w:rPr>
      <w:fldChar w:fldCharType="separate"/>
    </w:r>
    <w:r w:rsidR="00210259" w:rsidRPr="00E2077E">
      <w:rPr>
        <w:rStyle w:val="Hyperlink"/>
        <w:sz w:val="18"/>
        <w:szCs w:val="18"/>
        <w:lang w:val="en-US"/>
      </w:rPr>
      <w:t>aptwtdc@apt.int</w:t>
    </w:r>
    <w:r w:rsidR="00210259">
      <w:rPr>
        <w:sz w:val="18"/>
        <w:szCs w:val="18"/>
        <w:lang w:val="en-US"/>
      </w:rPr>
      <w:fldChar w:fldCharType="end"/>
    </w:r>
    <w:r w:rsidR="00210259">
      <w:rPr>
        <w:sz w:val="18"/>
        <w:szCs w:val="18"/>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448" w:rsidRDefault="007D6448">
      <w:r>
        <w:t>____________________</w:t>
      </w:r>
    </w:p>
  </w:footnote>
  <w:footnote w:type="continuationSeparator" w:id="0">
    <w:p w:rsidR="007D6448" w:rsidRDefault="007D64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005791" w:rsidRDefault="007D63D6" w:rsidP="00210259">
    <w:pPr>
      <w:pStyle w:val="Header"/>
      <w:tabs>
        <w:tab w:val="center" w:pos="4820"/>
        <w:tab w:val="right" w:pos="9639"/>
      </w:tabs>
      <w:jc w:val="left"/>
      <w:rPr>
        <w:rStyle w:val="PageNumber"/>
      </w:rPr>
    </w:pPr>
    <w:r>
      <w:tab/>
    </w:r>
    <w:bookmarkStart w:id="10" w:name="DocRef2"/>
    <w:bookmarkEnd w:id="10"/>
    <w:r w:rsidR="00051635">
      <w:t>WTDC14</w:t>
    </w:r>
    <w:r w:rsidR="00AF605F">
      <w:t>/</w:t>
    </w:r>
    <w:bookmarkStart w:id="11" w:name="DocNo2"/>
    <w:bookmarkEnd w:id="11"/>
    <w:r w:rsidR="00210259">
      <w:t>37</w:t>
    </w:r>
    <w:r w:rsidR="00A102BD">
      <w:t>(Add.2)</w:t>
    </w:r>
    <w:r w:rsidR="00051635">
      <w:t>-E</w:t>
    </w:r>
    <w:r w:rsidR="00721657">
      <w:tab/>
      <w:t xml:space="preserve">Page </w:t>
    </w:r>
    <w:sdt>
      <w:sdtPr>
        <w:id w:val="637703110"/>
        <w:docPartObj>
          <w:docPartGallery w:val="Page Numbers (Top of Page)"/>
          <w:docPartUnique/>
        </w:docPartObj>
      </w:sdtPr>
      <w:sdtEndPr/>
      <w:sdtContent>
        <w:r w:rsidR="00721657">
          <w:fldChar w:fldCharType="begin"/>
        </w:r>
        <w:r w:rsidR="00721657">
          <w:instrText xml:space="preserve"> PAGE   \* MERGEFORMAT </w:instrText>
        </w:r>
        <w:r w:rsidR="00721657">
          <w:fldChar w:fldCharType="separate"/>
        </w:r>
        <w:r w:rsidR="00921273">
          <w:rPr>
            <w:noProof/>
          </w:rPr>
          <w:t>5</w:t>
        </w:r>
        <w:r w:rsidR="00721657">
          <w:rPr>
            <w:noProof/>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2A84"/>
    <w:multiLevelType w:val="hybridMultilevel"/>
    <w:tmpl w:val="32B26620"/>
    <w:lvl w:ilvl="0" w:tplc="36944DF6">
      <w:start w:val="1"/>
      <w:numFmt w:val="lowerRoman"/>
      <w:lvlText w:val="%1)"/>
      <w:lvlJc w:val="left"/>
      <w:pPr>
        <w:ind w:left="360" w:hanging="360"/>
      </w:pPr>
      <w:rPr>
        <w:rFonts w:ascii="Calibri" w:eastAsia="Calibri" w:hAnsi="Calibri" w:cs="Times New Roman"/>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10943108"/>
    <w:multiLevelType w:val="hybridMultilevel"/>
    <w:tmpl w:val="5B9CD2A6"/>
    <w:lvl w:ilvl="0" w:tplc="36944DF6">
      <w:start w:val="1"/>
      <w:numFmt w:val="lowerRoman"/>
      <w:lvlText w:val="%1)"/>
      <w:lvlJc w:val="left"/>
      <w:pPr>
        <w:ind w:left="360" w:hanging="360"/>
      </w:pPr>
      <w:rPr>
        <w:rFonts w:ascii="Calibri" w:eastAsia="Calibri" w:hAnsi="Calibri" w:cs="Times New Roman" w:hint="default"/>
      </w:rPr>
    </w:lvl>
    <w:lvl w:ilvl="1" w:tplc="36944DF6">
      <w:start w:val="1"/>
      <w:numFmt w:val="lowerRoman"/>
      <w:lvlText w:val="%2)"/>
      <w:lvlJc w:val="left"/>
      <w:pPr>
        <w:ind w:left="1080" w:hanging="360"/>
      </w:pPr>
      <w:rPr>
        <w:rFonts w:ascii="Calibri" w:eastAsia="Calibri" w:hAnsi="Calibri" w:cs="Times New Roman"/>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483F53B6"/>
    <w:multiLevelType w:val="hybridMultilevel"/>
    <w:tmpl w:val="B6F2D5AE"/>
    <w:lvl w:ilvl="0" w:tplc="FCE0E15A">
      <w:start w:val="1"/>
      <w:numFmt w:val="lowerLetter"/>
      <w:lvlText w:val="%1)"/>
      <w:lvlJc w:val="left"/>
      <w:pPr>
        <w:ind w:left="360" w:hanging="360"/>
      </w:pPr>
      <w:rPr>
        <w:rFonts w:hint="default"/>
        <w:i/>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635"/>
    <w:rsid w:val="00003AE9"/>
    <w:rsid w:val="00005791"/>
    <w:rsid w:val="00005EED"/>
    <w:rsid w:val="00022BAD"/>
    <w:rsid w:val="00037A9E"/>
    <w:rsid w:val="00051635"/>
    <w:rsid w:val="000539F1"/>
    <w:rsid w:val="00055A2A"/>
    <w:rsid w:val="000A17C4"/>
    <w:rsid w:val="000B376F"/>
    <w:rsid w:val="000D2351"/>
    <w:rsid w:val="000D261B"/>
    <w:rsid w:val="000E3E5C"/>
    <w:rsid w:val="000E3ED4"/>
    <w:rsid w:val="000F6644"/>
    <w:rsid w:val="00100833"/>
    <w:rsid w:val="00113263"/>
    <w:rsid w:val="00114A65"/>
    <w:rsid w:val="0012538A"/>
    <w:rsid w:val="00141699"/>
    <w:rsid w:val="00147000"/>
    <w:rsid w:val="001510DA"/>
    <w:rsid w:val="001645CB"/>
    <w:rsid w:val="00173781"/>
    <w:rsid w:val="00175CAE"/>
    <w:rsid w:val="001828DB"/>
    <w:rsid w:val="001850FE"/>
    <w:rsid w:val="00185135"/>
    <w:rsid w:val="001905A9"/>
    <w:rsid w:val="00191273"/>
    <w:rsid w:val="00192BBF"/>
    <w:rsid w:val="001942A7"/>
    <w:rsid w:val="001A163D"/>
    <w:rsid w:val="001A441E"/>
    <w:rsid w:val="001B357F"/>
    <w:rsid w:val="001C3702"/>
    <w:rsid w:val="001D607D"/>
    <w:rsid w:val="001F0F8E"/>
    <w:rsid w:val="001F4238"/>
    <w:rsid w:val="00200A38"/>
    <w:rsid w:val="00200A46"/>
    <w:rsid w:val="00210259"/>
    <w:rsid w:val="00217CC3"/>
    <w:rsid w:val="0022120F"/>
    <w:rsid w:val="0022754A"/>
    <w:rsid w:val="0024178F"/>
    <w:rsid w:val="00245D0F"/>
    <w:rsid w:val="00257ACD"/>
    <w:rsid w:val="00262908"/>
    <w:rsid w:val="002650F4"/>
    <w:rsid w:val="00273F7E"/>
    <w:rsid w:val="00285B33"/>
    <w:rsid w:val="002C1EC7"/>
    <w:rsid w:val="002C7EA3"/>
    <w:rsid w:val="002D20AE"/>
    <w:rsid w:val="002E2104"/>
    <w:rsid w:val="002F05D8"/>
    <w:rsid w:val="002F2DE0"/>
    <w:rsid w:val="002F5E25"/>
    <w:rsid w:val="00312AE6"/>
    <w:rsid w:val="00317D1A"/>
    <w:rsid w:val="00321193"/>
    <w:rsid w:val="00327A9D"/>
    <w:rsid w:val="003302AC"/>
    <w:rsid w:val="0033130E"/>
    <w:rsid w:val="00360B73"/>
    <w:rsid w:val="003A7FFE"/>
    <w:rsid w:val="003B0C61"/>
    <w:rsid w:val="003C1746"/>
    <w:rsid w:val="003D2F3B"/>
    <w:rsid w:val="003D451D"/>
    <w:rsid w:val="00401BFF"/>
    <w:rsid w:val="00413B78"/>
    <w:rsid w:val="00451CF8"/>
    <w:rsid w:val="00453435"/>
    <w:rsid w:val="00466398"/>
    <w:rsid w:val="00471418"/>
    <w:rsid w:val="00477A44"/>
    <w:rsid w:val="00490374"/>
    <w:rsid w:val="0049128B"/>
    <w:rsid w:val="00493B49"/>
    <w:rsid w:val="004A070A"/>
    <w:rsid w:val="004B1A3C"/>
    <w:rsid w:val="004D2CC3"/>
    <w:rsid w:val="004D35CB"/>
    <w:rsid w:val="004D55AB"/>
    <w:rsid w:val="004E20E5"/>
    <w:rsid w:val="004E2A17"/>
    <w:rsid w:val="004E64EA"/>
    <w:rsid w:val="004F6A70"/>
    <w:rsid w:val="00504DB0"/>
    <w:rsid w:val="005072FE"/>
    <w:rsid w:val="00534D5F"/>
    <w:rsid w:val="00544D1B"/>
    <w:rsid w:val="00545DC0"/>
    <w:rsid w:val="00545F6C"/>
    <w:rsid w:val="0055720C"/>
    <w:rsid w:val="0056423B"/>
    <w:rsid w:val="00573424"/>
    <w:rsid w:val="00584AEF"/>
    <w:rsid w:val="00592518"/>
    <w:rsid w:val="00592E87"/>
    <w:rsid w:val="00594C4D"/>
    <w:rsid w:val="005A33B0"/>
    <w:rsid w:val="005C2DC2"/>
    <w:rsid w:val="005D57C8"/>
    <w:rsid w:val="005E0278"/>
    <w:rsid w:val="005E3CA0"/>
    <w:rsid w:val="005E44B1"/>
    <w:rsid w:val="005E67B0"/>
    <w:rsid w:val="005F43DD"/>
    <w:rsid w:val="005F7416"/>
    <w:rsid w:val="00625FB8"/>
    <w:rsid w:val="006261BD"/>
    <w:rsid w:val="0064734E"/>
    <w:rsid w:val="00650137"/>
    <w:rsid w:val="006748F8"/>
    <w:rsid w:val="00680489"/>
    <w:rsid w:val="006A1775"/>
    <w:rsid w:val="006A7710"/>
    <w:rsid w:val="006A7A61"/>
    <w:rsid w:val="006B4952"/>
    <w:rsid w:val="006C1F18"/>
    <w:rsid w:val="006D0F8B"/>
    <w:rsid w:val="006D253B"/>
    <w:rsid w:val="006D40D5"/>
    <w:rsid w:val="006F009A"/>
    <w:rsid w:val="00721657"/>
    <w:rsid w:val="00727B1A"/>
    <w:rsid w:val="007322D3"/>
    <w:rsid w:val="00740EEF"/>
    <w:rsid w:val="0075070C"/>
    <w:rsid w:val="00752258"/>
    <w:rsid w:val="00762880"/>
    <w:rsid w:val="00763B2C"/>
    <w:rsid w:val="00765DE5"/>
    <w:rsid w:val="007704AC"/>
    <w:rsid w:val="00772290"/>
    <w:rsid w:val="007805E7"/>
    <w:rsid w:val="0078222A"/>
    <w:rsid w:val="007A4E50"/>
    <w:rsid w:val="007B18A7"/>
    <w:rsid w:val="007B250E"/>
    <w:rsid w:val="007C27FC"/>
    <w:rsid w:val="007C51FF"/>
    <w:rsid w:val="007D50E4"/>
    <w:rsid w:val="007D63D6"/>
    <w:rsid w:val="007D6448"/>
    <w:rsid w:val="007E195A"/>
    <w:rsid w:val="0080137B"/>
    <w:rsid w:val="008028CE"/>
    <w:rsid w:val="008141E0"/>
    <w:rsid w:val="00816F88"/>
    <w:rsid w:val="00852081"/>
    <w:rsid w:val="00857BC6"/>
    <w:rsid w:val="00874DFD"/>
    <w:rsid w:val="00883086"/>
    <w:rsid w:val="008879FD"/>
    <w:rsid w:val="00894C37"/>
    <w:rsid w:val="008A00EA"/>
    <w:rsid w:val="008A3F93"/>
    <w:rsid w:val="008A6E1C"/>
    <w:rsid w:val="008A72FD"/>
    <w:rsid w:val="008B2EDF"/>
    <w:rsid w:val="008B54CB"/>
    <w:rsid w:val="008C4010"/>
    <w:rsid w:val="008C4FDF"/>
    <w:rsid w:val="008E0636"/>
    <w:rsid w:val="008F71C1"/>
    <w:rsid w:val="00902D41"/>
    <w:rsid w:val="00914004"/>
    <w:rsid w:val="009171AE"/>
    <w:rsid w:val="00921273"/>
    <w:rsid w:val="00921AD0"/>
    <w:rsid w:val="009301F1"/>
    <w:rsid w:val="00942A8A"/>
    <w:rsid w:val="009431F8"/>
    <w:rsid w:val="00966CB5"/>
    <w:rsid w:val="00974DA5"/>
    <w:rsid w:val="00975786"/>
    <w:rsid w:val="00983E1F"/>
    <w:rsid w:val="00985EB2"/>
    <w:rsid w:val="00993F46"/>
    <w:rsid w:val="00994B91"/>
    <w:rsid w:val="00997358"/>
    <w:rsid w:val="009A452B"/>
    <w:rsid w:val="009B050C"/>
    <w:rsid w:val="009C110B"/>
    <w:rsid w:val="009C5441"/>
    <w:rsid w:val="009E4DC6"/>
    <w:rsid w:val="009F3940"/>
    <w:rsid w:val="009F3EB2"/>
    <w:rsid w:val="00A102BD"/>
    <w:rsid w:val="00A20267"/>
    <w:rsid w:val="00A22048"/>
    <w:rsid w:val="00A25818"/>
    <w:rsid w:val="00A32170"/>
    <w:rsid w:val="00A53E7C"/>
    <w:rsid w:val="00A60087"/>
    <w:rsid w:val="00A6555F"/>
    <w:rsid w:val="00A705E8"/>
    <w:rsid w:val="00A70BC6"/>
    <w:rsid w:val="00A9392C"/>
    <w:rsid w:val="00A9462B"/>
    <w:rsid w:val="00A97D59"/>
    <w:rsid w:val="00AE5961"/>
    <w:rsid w:val="00AF605F"/>
    <w:rsid w:val="00B02323"/>
    <w:rsid w:val="00B06F50"/>
    <w:rsid w:val="00B310F9"/>
    <w:rsid w:val="00B37866"/>
    <w:rsid w:val="00B4576B"/>
    <w:rsid w:val="00B8460A"/>
    <w:rsid w:val="00B8650D"/>
    <w:rsid w:val="00B879B4"/>
    <w:rsid w:val="00B90F07"/>
    <w:rsid w:val="00B97BB9"/>
    <w:rsid w:val="00BB25EE"/>
    <w:rsid w:val="00BC10A0"/>
    <w:rsid w:val="00BC7BA2"/>
    <w:rsid w:val="00BD426B"/>
    <w:rsid w:val="00BE00BD"/>
    <w:rsid w:val="00BE2B4D"/>
    <w:rsid w:val="00C015F8"/>
    <w:rsid w:val="00C177C5"/>
    <w:rsid w:val="00C4038C"/>
    <w:rsid w:val="00C44066"/>
    <w:rsid w:val="00C44E13"/>
    <w:rsid w:val="00C55DA3"/>
    <w:rsid w:val="00C56238"/>
    <w:rsid w:val="00C62DFB"/>
    <w:rsid w:val="00C6401A"/>
    <w:rsid w:val="00C66F4D"/>
    <w:rsid w:val="00C82D6D"/>
    <w:rsid w:val="00C87BCA"/>
    <w:rsid w:val="00C94506"/>
    <w:rsid w:val="00C954BC"/>
    <w:rsid w:val="00CA485D"/>
    <w:rsid w:val="00CA6190"/>
    <w:rsid w:val="00CB2A2E"/>
    <w:rsid w:val="00CB79C5"/>
    <w:rsid w:val="00CC732E"/>
    <w:rsid w:val="00CD5569"/>
    <w:rsid w:val="00CD7207"/>
    <w:rsid w:val="00CE1786"/>
    <w:rsid w:val="00CE5E4D"/>
    <w:rsid w:val="00CF02C4"/>
    <w:rsid w:val="00D01F54"/>
    <w:rsid w:val="00D10FC7"/>
    <w:rsid w:val="00D11891"/>
    <w:rsid w:val="00D35BDD"/>
    <w:rsid w:val="00D63006"/>
    <w:rsid w:val="00D72301"/>
    <w:rsid w:val="00D84E15"/>
    <w:rsid w:val="00D91B97"/>
    <w:rsid w:val="00D93ACC"/>
    <w:rsid w:val="00D93C08"/>
    <w:rsid w:val="00D95DAC"/>
    <w:rsid w:val="00DB2840"/>
    <w:rsid w:val="00DD66B4"/>
    <w:rsid w:val="00DE27AB"/>
    <w:rsid w:val="00DF2AB3"/>
    <w:rsid w:val="00DF6406"/>
    <w:rsid w:val="00DF7250"/>
    <w:rsid w:val="00E00CAA"/>
    <w:rsid w:val="00E03EBF"/>
    <w:rsid w:val="00E05209"/>
    <w:rsid w:val="00E2258E"/>
    <w:rsid w:val="00E260C2"/>
    <w:rsid w:val="00E32596"/>
    <w:rsid w:val="00E35089"/>
    <w:rsid w:val="00E368F7"/>
    <w:rsid w:val="00E37FB8"/>
    <w:rsid w:val="00E40B07"/>
    <w:rsid w:val="00E43544"/>
    <w:rsid w:val="00E477EA"/>
    <w:rsid w:val="00E56A99"/>
    <w:rsid w:val="00E66898"/>
    <w:rsid w:val="00E81961"/>
    <w:rsid w:val="00E83810"/>
    <w:rsid w:val="00E86933"/>
    <w:rsid w:val="00EA7DE7"/>
    <w:rsid w:val="00EB7A8A"/>
    <w:rsid w:val="00EF01CF"/>
    <w:rsid w:val="00EF73C0"/>
    <w:rsid w:val="00F03590"/>
    <w:rsid w:val="00F238B3"/>
    <w:rsid w:val="00F25586"/>
    <w:rsid w:val="00F31498"/>
    <w:rsid w:val="00F42F1C"/>
    <w:rsid w:val="00F43B44"/>
    <w:rsid w:val="00F440E5"/>
    <w:rsid w:val="00F448F6"/>
    <w:rsid w:val="00F52741"/>
    <w:rsid w:val="00F53D8A"/>
    <w:rsid w:val="00F60FD3"/>
    <w:rsid w:val="00F626F7"/>
    <w:rsid w:val="00F67272"/>
    <w:rsid w:val="00F73C02"/>
    <w:rsid w:val="00F9211C"/>
    <w:rsid w:val="00F938F7"/>
    <w:rsid w:val="00FA095D"/>
    <w:rsid w:val="00FB4139"/>
    <w:rsid w:val="00FB476E"/>
    <w:rsid w:val="00FC0D90"/>
    <w:rsid w:val="00FC7D8C"/>
    <w:rsid w:val="00FD3980"/>
    <w:rsid w:val="00FD431E"/>
    <w:rsid w:val="00FD5A2C"/>
    <w:rsid w:val="00FE1D5C"/>
    <w:rsid w:val="00FE2F8B"/>
    <w:rsid w:val="00FF287F"/>
    <w:rsid w:val="00FF74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uiPriority w:val="99"/>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locked/>
    <w:rsid w:val="00E35089"/>
    <w:rPr>
      <w:rFonts w:asciiTheme="minorHAnsi" w:hAnsiTheme="minorHAnsi"/>
      <w:sz w:val="24"/>
      <w:lang w:val="en-GB" w:eastAsia="en-US"/>
    </w:rPr>
  </w:style>
  <w:style w:type="character" w:customStyle="1" w:styleId="CallChar">
    <w:name w:val="Call Char"/>
    <w:link w:val="Call"/>
    <w:uiPriority w:val="99"/>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 w:type="character" w:customStyle="1" w:styleId="ColorfulList-Accent1Char">
    <w:name w:val="Colorful List - Accent 1 Char"/>
    <w:aliases w:val="List Paragraph1 Char,Recommendation Char,List Paragraph11 Char"/>
    <w:link w:val="ColorfulList-Accent1"/>
    <w:uiPriority w:val="34"/>
    <w:locked/>
    <w:rsid w:val="00CA6190"/>
    <w:rPr>
      <w:sz w:val="24"/>
      <w:szCs w:val="24"/>
      <w:lang w:val="en-US" w:eastAsia="ja-JP"/>
    </w:rPr>
  </w:style>
  <w:style w:type="table" w:styleId="ColorfulList-Accent1">
    <w:name w:val="Colorful List Accent 1"/>
    <w:basedOn w:val="TableNormal"/>
    <w:link w:val="ColorfulList-Accent1Char"/>
    <w:uiPriority w:val="34"/>
    <w:rsid w:val="00CA6190"/>
    <w:rPr>
      <w:sz w:val="24"/>
      <w:szCs w:val="24"/>
      <w:lang w:eastAsia="ja-JP"/>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ListParagraph">
    <w:name w:val="List Paragraph"/>
    <w:basedOn w:val="Normal"/>
    <w:uiPriority w:val="34"/>
    <w:qFormat/>
    <w:rsid w:val="00C640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uiPriority w:val="99"/>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locked/>
    <w:rsid w:val="00E35089"/>
    <w:rPr>
      <w:rFonts w:asciiTheme="minorHAnsi" w:hAnsiTheme="minorHAnsi"/>
      <w:sz w:val="24"/>
      <w:lang w:val="en-GB" w:eastAsia="en-US"/>
    </w:rPr>
  </w:style>
  <w:style w:type="character" w:customStyle="1" w:styleId="CallChar">
    <w:name w:val="Call Char"/>
    <w:link w:val="Call"/>
    <w:uiPriority w:val="99"/>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 w:type="character" w:customStyle="1" w:styleId="ColorfulList-Accent1Char">
    <w:name w:val="Colorful List - Accent 1 Char"/>
    <w:aliases w:val="List Paragraph1 Char,Recommendation Char,List Paragraph11 Char"/>
    <w:link w:val="ColorfulList-Accent1"/>
    <w:uiPriority w:val="34"/>
    <w:locked/>
    <w:rsid w:val="00CA6190"/>
    <w:rPr>
      <w:sz w:val="24"/>
      <w:szCs w:val="24"/>
      <w:lang w:val="en-US" w:eastAsia="ja-JP"/>
    </w:rPr>
  </w:style>
  <w:style w:type="table" w:styleId="ColorfulList-Accent1">
    <w:name w:val="Colorful List Accent 1"/>
    <w:basedOn w:val="TableNormal"/>
    <w:link w:val="ColorfulList-Accent1Char"/>
    <w:uiPriority w:val="34"/>
    <w:rsid w:val="00CA6190"/>
    <w:rPr>
      <w:sz w:val="24"/>
      <w:szCs w:val="24"/>
      <w:lang w:eastAsia="ja-JP"/>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ListParagraph">
    <w:name w:val="List Paragraph"/>
    <w:basedOn w:val="Normal"/>
    <w:uiPriority w:val="34"/>
    <w:qFormat/>
    <w:rsid w:val="00C640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A6A15-0737-4008-A9D1-C4CC47304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1228</Words>
  <Characters>7500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Manager>General Secretariat - Pool</Manager>
  <Company>International Telecommunication Union (ITU)</Company>
  <LinksUpToDate>false</LinksUpToDate>
  <CharactersWithSpaces>8711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Puyana-Linares, Laura</dc:creator>
  <dc:description>PE_WTDC14.dotm  For: _x000d_Document date: _x000d_Saved by ITU51009317 at 13:55:42 on 17.12.13</dc:description>
  <cp:lastModifiedBy>BDT</cp:lastModifiedBy>
  <cp:revision>4</cp:revision>
  <cp:lastPrinted>2014-03-05T08:48:00Z</cp:lastPrinted>
  <dcterms:created xsi:type="dcterms:W3CDTF">2014-03-11T11:03:00Z</dcterms:created>
  <dcterms:modified xsi:type="dcterms:W3CDTF">2014-03-12T10:01:00Z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Document WTDC14/5-E</vt:lpwstr>
  </property>
  <property fmtid="{D5CDD505-2E9C-101B-9397-08002B2CF9AE}" pid="3" name="Docdate">
    <vt:lpwstr>22 January 2014</vt:lpwstr>
  </property>
  <property fmtid="{D5CDD505-2E9C-101B-9397-08002B2CF9AE}" pid="4" name="Docorlang">
    <vt:lpwstr>Original: English</vt:lpwstr>
  </property>
  <property fmtid="{D5CDD505-2E9C-101B-9397-08002B2CF9AE}" pid="5" name="Docdest">
    <vt:lpwstr>ASDF</vt:lpwstr>
  </property>
  <property fmtid="{D5CDD505-2E9C-101B-9397-08002B2CF9AE}" pid="6" name="Docauthor">
    <vt:lpwstr>qwer</vt:lpwstr>
  </property>
  <property fmtid="{D5CDD505-2E9C-101B-9397-08002B2CF9AE}" pid="7" name="Docbluepink">
    <vt:lpwstr/>
  </property>
</Properties>
</file>